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52" w:rsidRDefault="003B3252"/>
    <w:p w:rsidR="00915858" w:rsidRPr="007E0851" w:rsidRDefault="00915858" w:rsidP="00915858">
      <w:pPr>
        <w:jc w:val="center"/>
        <w:rPr>
          <w:rFonts w:ascii="Arial Narrow" w:hAnsi="Arial Narrow"/>
          <w:b/>
          <w:sz w:val="24"/>
          <w:szCs w:val="24"/>
        </w:rPr>
      </w:pPr>
      <w:r w:rsidRPr="007E0851">
        <w:rPr>
          <w:rFonts w:ascii="Arial Narrow" w:hAnsi="Arial Narrow"/>
          <w:b/>
          <w:sz w:val="24"/>
          <w:szCs w:val="24"/>
        </w:rPr>
        <w:t>INFORME PORMENORIZADO DE CONTROL INTERNO</w:t>
      </w:r>
    </w:p>
    <w:p w:rsidR="00915858" w:rsidRPr="007E0851" w:rsidRDefault="00915858" w:rsidP="00915858">
      <w:pPr>
        <w:jc w:val="center"/>
        <w:rPr>
          <w:rFonts w:ascii="Arial Narrow" w:hAnsi="Arial Narrow"/>
          <w:b/>
          <w:sz w:val="24"/>
          <w:szCs w:val="24"/>
        </w:rPr>
      </w:pPr>
      <w:r w:rsidRPr="007E0851">
        <w:rPr>
          <w:rFonts w:ascii="Arial Narrow" w:hAnsi="Arial Narrow"/>
          <w:b/>
          <w:sz w:val="24"/>
          <w:szCs w:val="24"/>
        </w:rPr>
        <w:t>Noviembre de 2017</w:t>
      </w:r>
    </w:p>
    <w:p w:rsidR="00915858" w:rsidRPr="007E0851" w:rsidRDefault="00915858" w:rsidP="00295D0B">
      <w:pPr>
        <w:jc w:val="both"/>
        <w:rPr>
          <w:rFonts w:ascii="Arial Narrow" w:hAnsi="Arial Narrow"/>
          <w:sz w:val="24"/>
          <w:szCs w:val="24"/>
        </w:rPr>
      </w:pPr>
      <w:r w:rsidRPr="007E0851">
        <w:rPr>
          <w:rFonts w:ascii="Arial Narrow" w:hAnsi="Arial Narrow"/>
          <w:sz w:val="24"/>
          <w:szCs w:val="24"/>
        </w:rPr>
        <w:t xml:space="preserve">Durante este periodo se han  desarrollado las </w:t>
      </w:r>
      <w:r w:rsidR="007E0851" w:rsidRPr="007E0851">
        <w:rPr>
          <w:rFonts w:ascii="Arial Narrow" w:hAnsi="Arial Narrow"/>
          <w:sz w:val="24"/>
          <w:szCs w:val="24"/>
        </w:rPr>
        <w:t>auditorías</w:t>
      </w:r>
      <w:r w:rsidRPr="007E0851">
        <w:rPr>
          <w:rFonts w:ascii="Arial Narrow" w:hAnsi="Arial Narrow"/>
          <w:sz w:val="24"/>
          <w:szCs w:val="24"/>
        </w:rPr>
        <w:t xml:space="preserve"> internas en las siguientes dependencias: </w:t>
      </w:r>
      <w:r w:rsidR="007E0851">
        <w:rPr>
          <w:rFonts w:ascii="Arial Narrow" w:hAnsi="Arial Narrow"/>
          <w:sz w:val="24"/>
          <w:szCs w:val="24"/>
        </w:rPr>
        <w:t>Archivo y Correspondencia</w:t>
      </w:r>
      <w:r w:rsidR="00556E94">
        <w:rPr>
          <w:rFonts w:ascii="Arial Narrow" w:hAnsi="Arial Narrow"/>
          <w:sz w:val="24"/>
          <w:szCs w:val="24"/>
        </w:rPr>
        <w:t>; encontrando como hallazgo relevante, que la entidad n</w:t>
      </w:r>
      <w:r w:rsidR="00556E94" w:rsidRPr="00556E94">
        <w:rPr>
          <w:rFonts w:ascii="Arial Narrow" w:eastAsiaTheme="minorEastAsia" w:hAnsi="Arial Narrow" w:cs="Arial"/>
          <w:sz w:val="24"/>
          <w:szCs w:val="24"/>
          <w:lang w:eastAsia="es-CO"/>
        </w:rPr>
        <w:t>o cuenta con un programa de conservación preventiva de documentos, lo cual puede causar un detrimento al patrimonio documental de la Gobernación lo que a su vez ocasionaría una sanción al funcionario responsable según lo estipulado en el Literal b del Artículo 35 de la Ley 594 de 2000 y en concordancia con el Régimen Disciplinario Único.</w:t>
      </w:r>
      <w:r w:rsidR="007E0851">
        <w:rPr>
          <w:rFonts w:ascii="Arial Narrow" w:hAnsi="Arial Narrow"/>
          <w:sz w:val="24"/>
          <w:szCs w:val="24"/>
        </w:rPr>
        <w:t xml:space="preserve"> Nomina, Oficina de turismo</w:t>
      </w:r>
    </w:p>
    <w:p w:rsidR="00915858" w:rsidRPr="007E0851" w:rsidRDefault="00915858">
      <w:pPr>
        <w:rPr>
          <w:rFonts w:ascii="Arial Narrow" w:hAnsi="Arial Narrow"/>
          <w:sz w:val="24"/>
          <w:szCs w:val="24"/>
        </w:rPr>
      </w:pPr>
      <w:r w:rsidRPr="007E0851">
        <w:rPr>
          <w:rFonts w:ascii="Arial Narrow" w:hAnsi="Arial Narrow"/>
          <w:sz w:val="24"/>
          <w:szCs w:val="24"/>
        </w:rPr>
        <w:t>Se realizó Asistencia Técnica  a los municipios de Ciénaga, Pueblo Viejo, Plato, Tenerife Nueva Granada, Ari guaní, sobre los mecanismos de Participación Ciudadana y desarrollo de la Ley  1712</w:t>
      </w:r>
      <w:r w:rsidR="00295D0B">
        <w:rPr>
          <w:rFonts w:ascii="Arial Narrow" w:hAnsi="Arial Narrow"/>
          <w:sz w:val="24"/>
          <w:szCs w:val="24"/>
        </w:rPr>
        <w:t>,</w:t>
      </w:r>
      <w:r w:rsidRPr="007E0851">
        <w:rPr>
          <w:rFonts w:ascii="Arial Narrow" w:hAnsi="Arial Narrow"/>
          <w:sz w:val="24"/>
          <w:szCs w:val="24"/>
        </w:rPr>
        <w:t xml:space="preserve"> o ley de Transparencia</w:t>
      </w:r>
      <w:r w:rsidR="00BD65E5" w:rsidRPr="007E0851">
        <w:rPr>
          <w:rFonts w:ascii="Arial Narrow" w:hAnsi="Arial Narrow"/>
          <w:sz w:val="24"/>
          <w:szCs w:val="24"/>
        </w:rPr>
        <w:t>.</w:t>
      </w:r>
    </w:p>
    <w:p w:rsidR="00BD65E5" w:rsidRPr="007E0851" w:rsidRDefault="00BD65E5">
      <w:pPr>
        <w:rPr>
          <w:rFonts w:ascii="Arial Narrow" w:hAnsi="Arial Narrow"/>
          <w:sz w:val="24"/>
          <w:szCs w:val="24"/>
        </w:rPr>
      </w:pPr>
      <w:r w:rsidRPr="007E0851">
        <w:rPr>
          <w:rFonts w:ascii="Arial Narrow" w:hAnsi="Arial Narrow"/>
          <w:sz w:val="24"/>
          <w:szCs w:val="24"/>
        </w:rPr>
        <w:t>Revisión de las cajas menores de las dependencias de la Gobernación del Magdalena</w:t>
      </w:r>
      <w:r w:rsidR="00217594" w:rsidRPr="007E0851">
        <w:rPr>
          <w:rFonts w:ascii="Arial Narrow" w:hAnsi="Arial Narrow"/>
          <w:sz w:val="24"/>
          <w:szCs w:val="24"/>
        </w:rPr>
        <w:t xml:space="preserve"> </w:t>
      </w:r>
      <w:r w:rsidRPr="007E0851">
        <w:rPr>
          <w:rFonts w:ascii="Arial Narrow" w:hAnsi="Arial Narrow"/>
          <w:sz w:val="24"/>
          <w:szCs w:val="24"/>
        </w:rPr>
        <w:t>de la siguiente manera:</w:t>
      </w:r>
    </w:p>
    <w:p w:rsidR="00BD65E5" w:rsidRPr="007E0851" w:rsidRDefault="00BD65E5">
      <w:pPr>
        <w:rPr>
          <w:rFonts w:ascii="Arial Narrow" w:hAnsi="Arial Narrow"/>
          <w:sz w:val="24"/>
          <w:szCs w:val="24"/>
        </w:rPr>
      </w:pPr>
      <w:r w:rsidRPr="007E0851">
        <w:rPr>
          <w:rFonts w:ascii="Arial Narrow" w:hAnsi="Arial Narrow"/>
          <w:sz w:val="24"/>
          <w:szCs w:val="24"/>
        </w:rPr>
        <w:t>Agosto 25 cajas</w:t>
      </w:r>
      <w:r w:rsidR="00217594" w:rsidRPr="007E0851">
        <w:rPr>
          <w:rFonts w:ascii="Arial Narrow" w:hAnsi="Arial Narrow"/>
          <w:sz w:val="24"/>
          <w:szCs w:val="24"/>
        </w:rPr>
        <w:t xml:space="preserve"> Menores</w:t>
      </w:r>
    </w:p>
    <w:p w:rsidR="00BD65E5" w:rsidRPr="007E0851" w:rsidRDefault="00BD65E5">
      <w:pPr>
        <w:rPr>
          <w:rFonts w:ascii="Arial Narrow" w:hAnsi="Arial Narrow"/>
          <w:sz w:val="24"/>
          <w:szCs w:val="24"/>
        </w:rPr>
      </w:pPr>
      <w:r w:rsidRPr="007E0851">
        <w:rPr>
          <w:rFonts w:ascii="Arial Narrow" w:hAnsi="Arial Narrow"/>
          <w:sz w:val="24"/>
          <w:szCs w:val="24"/>
        </w:rPr>
        <w:t>Septiembre  20 Cajas</w:t>
      </w:r>
      <w:r w:rsidR="00217594" w:rsidRPr="007E0851">
        <w:rPr>
          <w:rFonts w:ascii="Arial Narrow" w:hAnsi="Arial Narrow"/>
          <w:sz w:val="24"/>
          <w:szCs w:val="24"/>
        </w:rPr>
        <w:t xml:space="preserve"> Menores</w:t>
      </w:r>
    </w:p>
    <w:p w:rsidR="00BD65E5" w:rsidRPr="007E0851" w:rsidRDefault="00BD65E5">
      <w:pPr>
        <w:rPr>
          <w:rFonts w:ascii="Arial Narrow" w:hAnsi="Arial Narrow"/>
          <w:sz w:val="24"/>
          <w:szCs w:val="24"/>
        </w:rPr>
      </w:pPr>
      <w:r w:rsidRPr="007E0851">
        <w:rPr>
          <w:rFonts w:ascii="Arial Narrow" w:hAnsi="Arial Narrow"/>
          <w:sz w:val="24"/>
          <w:szCs w:val="24"/>
        </w:rPr>
        <w:t>Octubre 16 Cajas</w:t>
      </w:r>
      <w:r w:rsidR="00217594" w:rsidRPr="007E0851">
        <w:rPr>
          <w:rFonts w:ascii="Arial Narrow" w:hAnsi="Arial Narrow"/>
          <w:sz w:val="24"/>
          <w:szCs w:val="24"/>
        </w:rPr>
        <w:t xml:space="preserve"> Menores</w:t>
      </w:r>
    </w:p>
    <w:p w:rsidR="00BD65E5" w:rsidRPr="007E0851" w:rsidRDefault="00217594">
      <w:pPr>
        <w:rPr>
          <w:rFonts w:ascii="Arial Narrow" w:hAnsi="Arial Narrow"/>
          <w:sz w:val="24"/>
          <w:szCs w:val="24"/>
        </w:rPr>
      </w:pPr>
      <w:r w:rsidRPr="007E0851">
        <w:rPr>
          <w:rFonts w:ascii="Arial Narrow" w:hAnsi="Arial Narrow"/>
          <w:sz w:val="24"/>
          <w:szCs w:val="24"/>
        </w:rPr>
        <w:t>Noviembre 19 C</w:t>
      </w:r>
      <w:r w:rsidR="00BD65E5" w:rsidRPr="007E0851">
        <w:rPr>
          <w:rFonts w:ascii="Arial Narrow" w:hAnsi="Arial Narrow"/>
          <w:sz w:val="24"/>
          <w:szCs w:val="24"/>
        </w:rPr>
        <w:t>ajas</w:t>
      </w:r>
      <w:r w:rsidRPr="007E0851">
        <w:rPr>
          <w:rFonts w:ascii="Arial Narrow" w:hAnsi="Arial Narrow"/>
          <w:sz w:val="24"/>
          <w:szCs w:val="24"/>
        </w:rPr>
        <w:t xml:space="preserve"> Menores</w:t>
      </w:r>
    </w:p>
    <w:p w:rsidR="00DF478A" w:rsidRPr="007E0851" w:rsidRDefault="00DF478A" w:rsidP="007E0851">
      <w:pPr>
        <w:jc w:val="both"/>
        <w:rPr>
          <w:rFonts w:ascii="Arial Narrow" w:hAnsi="Arial Narrow"/>
          <w:sz w:val="24"/>
          <w:szCs w:val="24"/>
        </w:rPr>
      </w:pPr>
      <w:r w:rsidRPr="007E0851">
        <w:rPr>
          <w:rFonts w:ascii="Arial Narrow" w:hAnsi="Arial Narrow"/>
          <w:sz w:val="24"/>
          <w:szCs w:val="24"/>
        </w:rPr>
        <w:t>Se realizó   5</w:t>
      </w:r>
      <w:r w:rsidR="00217594" w:rsidRPr="007E0851">
        <w:rPr>
          <w:rFonts w:ascii="Arial Narrow" w:hAnsi="Arial Narrow"/>
          <w:sz w:val="24"/>
          <w:szCs w:val="24"/>
        </w:rPr>
        <w:t>t</w:t>
      </w:r>
      <w:r w:rsidRPr="007E0851">
        <w:rPr>
          <w:rFonts w:ascii="Arial Narrow" w:hAnsi="Arial Narrow"/>
          <w:sz w:val="24"/>
          <w:szCs w:val="24"/>
        </w:rPr>
        <w:t xml:space="preserve">º  seguimiento al plan de mejoramiento </w:t>
      </w:r>
      <w:r w:rsidR="00217594" w:rsidRPr="007E0851">
        <w:rPr>
          <w:rFonts w:ascii="Arial Narrow" w:hAnsi="Arial Narrow"/>
          <w:sz w:val="24"/>
          <w:szCs w:val="24"/>
        </w:rPr>
        <w:t>a</w:t>
      </w:r>
      <w:r w:rsidR="0047179C" w:rsidRPr="007E0851">
        <w:rPr>
          <w:rFonts w:ascii="Arial Narrow" w:hAnsi="Arial Narrow"/>
          <w:sz w:val="24"/>
          <w:szCs w:val="24"/>
        </w:rPr>
        <w:t>rchivístico</w:t>
      </w:r>
      <w:r w:rsidRPr="007E0851">
        <w:rPr>
          <w:rFonts w:ascii="Arial Narrow" w:hAnsi="Arial Narrow"/>
          <w:sz w:val="24"/>
          <w:szCs w:val="24"/>
        </w:rPr>
        <w:t xml:space="preserve"> </w:t>
      </w:r>
      <w:r w:rsidR="0047179C" w:rsidRPr="007E0851">
        <w:rPr>
          <w:rFonts w:ascii="Arial Narrow" w:hAnsi="Arial Narrow"/>
          <w:sz w:val="24"/>
          <w:szCs w:val="24"/>
        </w:rPr>
        <w:t xml:space="preserve"> firmado con el </w:t>
      </w:r>
      <w:r w:rsidR="007E0851" w:rsidRPr="007E0851">
        <w:rPr>
          <w:rFonts w:ascii="Arial Narrow" w:hAnsi="Arial Narrow"/>
          <w:sz w:val="24"/>
          <w:szCs w:val="24"/>
        </w:rPr>
        <w:t>AGN,</w:t>
      </w:r>
      <w:r w:rsidR="0047179C" w:rsidRPr="007E0851">
        <w:rPr>
          <w:rFonts w:ascii="Arial Narrow" w:hAnsi="Arial Narrow"/>
          <w:sz w:val="24"/>
          <w:szCs w:val="24"/>
        </w:rPr>
        <w:t xml:space="preserve">  donde  se dio un avance significativo al pasar de un 26 % de</w:t>
      </w:r>
      <w:r w:rsidR="007E0851">
        <w:rPr>
          <w:rFonts w:ascii="Arial Narrow" w:hAnsi="Arial Narrow"/>
          <w:sz w:val="24"/>
          <w:szCs w:val="24"/>
        </w:rPr>
        <w:t xml:space="preserve"> cumplimiento de </w:t>
      </w:r>
      <w:r w:rsidR="0047179C" w:rsidRPr="007E0851">
        <w:rPr>
          <w:rFonts w:ascii="Arial Narrow" w:hAnsi="Arial Narrow"/>
          <w:sz w:val="24"/>
          <w:szCs w:val="24"/>
        </w:rPr>
        <w:t xml:space="preserve"> avances a un  </w:t>
      </w:r>
      <w:r w:rsidR="00217594" w:rsidRPr="007E0851">
        <w:rPr>
          <w:rFonts w:ascii="Arial Narrow" w:hAnsi="Arial Narrow"/>
          <w:sz w:val="24"/>
          <w:szCs w:val="24"/>
        </w:rPr>
        <w:t>56%,   se han logrado realizar los inventarios documentales y la elaboración del sistema integrado de conservación SIC.</w:t>
      </w:r>
    </w:p>
    <w:p w:rsidR="00E22B58" w:rsidRPr="007E0851" w:rsidRDefault="00E22B58" w:rsidP="007E0851">
      <w:pPr>
        <w:jc w:val="both"/>
        <w:rPr>
          <w:rFonts w:ascii="Arial Narrow" w:hAnsi="Arial Narrow"/>
          <w:sz w:val="24"/>
          <w:szCs w:val="24"/>
        </w:rPr>
      </w:pPr>
      <w:r w:rsidRPr="007E0851">
        <w:rPr>
          <w:rFonts w:ascii="Arial Narrow" w:hAnsi="Arial Narrow"/>
          <w:sz w:val="24"/>
          <w:szCs w:val="24"/>
        </w:rPr>
        <w:t xml:space="preserve">Se envió a la función pública  la información concerniente al  modelo integrado de gestión y Planeación </w:t>
      </w:r>
      <w:r w:rsidR="007622F8" w:rsidRPr="007E0851">
        <w:rPr>
          <w:rFonts w:ascii="Arial Narrow" w:hAnsi="Arial Narrow"/>
          <w:sz w:val="24"/>
          <w:szCs w:val="24"/>
        </w:rPr>
        <w:t>(</w:t>
      </w:r>
      <w:r w:rsidRPr="007E0851">
        <w:rPr>
          <w:rFonts w:ascii="Arial Narrow" w:hAnsi="Arial Narrow"/>
          <w:sz w:val="24"/>
          <w:szCs w:val="24"/>
        </w:rPr>
        <w:t>MIGP</w:t>
      </w:r>
      <w:r w:rsidR="007622F8" w:rsidRPr="007E0851">
        <w:rPr>
          <w:rFonts w:ascii="Arial Narrow" w:hAnsi="Arial Narrow"/>
          <w:sz w:val="24"/>
          <w:szCs w:val="24"/>
        </w:rPr>
        <w:t>)</w:t>
      </w:r>
      <w:r w:rsidRPr="007E0851">
        <w:rPr>
          <w:rFonts w:ascii="Arial Narrow" w:hAnsi="Arial Narrow"/>
          <w:sz w:val="24"/>
          <w:szCs w:val="24"/>
        </w:rPr>
        <w:t>,  a través del  diligenciamiento del formato FURAG II, el cual se hizo de manera concertada con las demás dependencias involucradas en los temas</w:t>
      </w:r>
      <w:r w:rsidR="007E0851">
        <w:rPr>
          <w:rFonts w:ascii="Arial Narrow" w:hAnsi="Arial Narrow"/>
          <w:sz w:val="24"/>
          <w:szCs w:val="24"/>
        </w:rPr>
        <w:t>,</w:t>
      </w:r>
      <w:r w:rsidR="007622F8" w:rsidRPr="007E0851">
        <w:rPr>
          <w:rFonts w:ascii="Arial Narrow" w:hAnsi="Arial Narrow"/>
          <w:sz w:val="24"/>
          <w:szCs w:val="24"/>
        </w:rPr>
        <w:t xml:space="preserve">  fue liderado por esta dependencia.</w:t>
      </w:r>
    </w:p>
    <w:p w:rsidR="007E0851" w:rsidRPr="007E0851" w:rsidRDefault="007E0851" w:rsidP="007E0851">
      <w:pPr>
        <w:spacing w:after="0" w:line="225" w:lineRule="auto"/>
        <w:ind w:left="5"/>
        <w:jc w:val="both"/>
        <w:rPr>
          <w:rFonts w:ascii="Arial Narrow" w:eastAsia="Calibri" w:hAnsi="Arial Narrow" w:cs="Times New Roman"/>
          <w:sz w:val="24"/>
          <w:szCs w:val="24"/>
          <w:lang w:eastAsia="es-CO"/>
        </w:rPr>
      </w:pPr>
      <w:r w:rsidRPr="007E0851">
        <w:rPr>
          <w:rFonts w:ascii="Arial Narrow" w:eastAsia="Calibri" w:hAnsi="Arial Narrow" w:cs="Times New Roman"/>
          <w:sz w:val="24"/>
          <w:szCs w:val="24"/>
          <w:lang w:eastAsia="es-CO"/>
        </w:rPr>
        <w:t>La Procuraduría General de la Nación, ha dispuesto una Matriz de Autodiagnóstico para el cumplimiento de la Ley, la cual se usó como insumo para su seguimiento, y una vez revisada el sitio web de la Gobernación del Magdalena, se procedió a verificar la existencia de la información y su debido acceso al público.</w:t>
      </w:r>
    </w:p>
    <w:p w:rsidR="007E0851" w:rsidRPr="007E0851" w:rsidRDefault="007E0851" w:rsidP="007E0851">
      <w:pPr>
        <w:spacing w:after="0" w:line="271" w:lineRule="exact"/>
        <w:jc w:val="both"/>
        <w:rPr>
          <w:rFonts w:ascii="Arial Narrow" w:eastAsia="Times New Roman" w:hAnsi="Arial Narrow" w:cs="Times New Roman"/>
          <w:sz w:val="24"/>
          <w:szCs w:val="24"/>
          <w:lang w:eastAsia="es-CO"/>
        </w:rPr>
      </w:pPr>
    </w:p>
    <w:p w:rsidR="007E0851" w:rsidRPr="007E0851" w:rsidRDefault="007E0851" w:rsidP="007E0851">
      <w:pPr>
        <w:spacing w:after="0" w:line="0" w:lineRule="atLeast"/>
        <w:ind w:left="5"/>
        <w:jc w:val="both"/>
        <w:rPr>
          <w:rFonts w:ascii="Arial Narrow" w:eastAsia="Calibri" w:hAnsi="Arial Narrow" w:cs="Times New Roman"/>
          <w:sz w:val="24"/>
          <w:szCs w:val="24"/>
          <w:lang w:eastAsia="es-CO"/>
        </w:rPr>
      </w:pPr>
      <w:r w:rsidRPr="007E0851">
        <w:rPr>
          <w:rFonts w:ascii="Arial Narrow" w:eastAsia="Calibri" w:hAnsi="Arial Narrow" w:cs="Times New Roman"/>
          <w:sz w:val="24"/>
          <w:szCs w:val="24"/>
          <w:lang w:eastAsia="es-CO"/>
        </w:rPr>
        <w:t>De la verificación de cumplimiento se ha encontrado lo siguiente según anexo:</w:t>
      </w:r>
    </w:p>
    <w:p w:rsidR="007E0851" w:rsidRPr="007E0851" w:rsidRDefault="007E0851" w:rsidP="007E0851">
      <w:pPr>
        <w:spacing w:after="0" w:line="327" w:lineRule="exact"/>
        <w:jc w:val="both"/>
        <w:rPr>
          <w:rFonts w:ascii="Arial Narrow" w:eastAsia="Times New Roman" w:hAnsi="Arial Narrow" w:cs="Times New Roman"/>
          <w:sz w:val="24"/>
          <w:szCs w:val="24"/>
          <w:lang w:eastAsia="es-CO"/>
        </w:rPr>
      </w:pPr>
    </w:p>
    <w:p w:rsidR="007E0851" w:rsidRPr="007E0851" w:rsidRDefault="007E0851" w:rsidP="007E0851">
      <w:pPr>
        <w:numPr>
          <w:ilvl w:val="0"/>
          <w:numId w:val="1"/>
        </w:numPr>
        <w:tabs>
          <w:tab w:val="left" w:pos="725"/>
        </w:tabs>
        <w:spacing w:after="0" w:line="213" w:lineRule="auto"/>
        <w:jc w:val="both"/>
        <w:rPr>
          <w:rFonts w:ascii="Arial Narrow" w:eastAsia="Symbol" w:hAnsi="Arial Narrow" w:cs="Times New Roman"/>
          <w:sz w:val="24"/>
          <w:szCs w:val="24"/>
          <w:lang w:eastAsia="es-CO"/>
        </w:rPr>
      </w:pPr>
      <w:r w:rsidRPr="007E0851">
        <w:rPr>
          <w:rFonts w:ascii="Arial Narrow" w:eastAsia="Calibri" w:hAnsi="Arial Narrow" w:cs="Times New Roman"/>
          <w:sz w:val="24"/>
          <w:szCs w:val="24"/>
          <w:lang w:eastAsia="es-CO"/>
        </w:rPr>
        <w:t>En términos generales gran parte de la información que está publicada, contempla los temas establecidos en la Ley 1712 de 2014.</w:t>
      </w:r>
    </w:p>
    <w:p w:rsidR="007E0851" w:rsidRPr="007E0851" w:rsidRDefault="007E0851" w:rsidP="007E0851">
      <w:pPr>
        <w:spacing w:after="0" w:line="62" w:lineRule="exact"/>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13" w:lineRule="auto"/>
        <w:jc w:val="both"/>
        <w:rPr>
          <w:rFonts w:ascii="Arial Narrow" w:eastAsia="Symbol" w:hAnsi="Arial Narrow" w:cs="Times New Roman"/>
          <w:sz w:val="24"/>
          <w:szCs w:val="24"/>
          <w:lang w:eastAsia="es-CO"/>
        </w:rPr>
      </w:pPr>
      <w:r w:rsidRPr="007E0851">
        <w:rPr>
          <w:rFonts w:ascii="Arial Narrow" w:eastAsia="Calibri" w:hAnsi="Arial Narrow" w:cs="Times New Roman"/>
          <w:sz w:val="24"/>
          <w:szCs w:val="24"/>
          <w:lang w:eastAsia="es-CO"/>
        </w:rPr>
        <w:t>Pese a encontrarse la información requerida en la página WEB, se señalan algunos vínculos incorrectos o que no están habilitados.</w:t>
      </w:r>
    </w:p>
    <w:p w:rsidR="007E0851" w:rsidRPr="007E0851" w:rsidRDefault="007E0851" w:rsidP="007E0851">
      <w:pPr>
        <w:tabs>
          <w:tab w:val="left" w:pos="725"/>
        </w:tabs>
        <w:spacing w:after="0" w:line="221" w:lineRule="auto"/>
        <w:ind w:left="725"/>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21" w:lineRule="auto"/>
        <w:jc w:val="both"/>
        <w:rPr>
          <w:rFonts w:ascii="Arial Narrow" w:eastAsia="Symbol" w:hAnsi="Arial Narrow" w:cs="Times New Roman"/>
          <w:sz w:val="24"/>
          <w:szCs w:val="24"/>
          <w:lang w:eastAsia="es-CO"/>
        </w:rPr>
      </w:pPr>
      <w:r w:rsidRPr="007E0851">
        <w:rPr>
          <w:rFonts w:ascii="Arial Narrow" w:eastAsia="Calibri" w:hAnsi="Arial Narrow" w:cs="Times New Roman"/>
          <w:sz w:val="24"/>
          <w:szCs w:val="24"/>
          <w:lang w:eastAsia="es-CO"/>
        </w:rPr>
        <w:t>No se evidencia el registro de publicaciones referido a los activos de información literal (j) del artículo 11 y articulo 13 de la Ley de Transparencia, relativos a registro de activos de publicación y registro de activos de información.</w:t>
      </w:r>
    </w:p>
    <w:p w:rsidR="007E0851" w:rsidRPr="007E0851" w:rsidRDefault="007E0851" w:rsidP="007E0851">
      <w:pPr>
        <w:numPr>
          <w:ilvl w:val="0"/>
          <w:numId w:val="1"/>
        </w:numPr>
        <w:tabs>
          <w:tab w:val="left" w:pos="725"/>
        </w:tabs>
        <w:spacing w:after="0" w:line="221" w:lineRule="auto"/>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38" w:lineRule="auto"/>
        <w:jc w:val="both"/>
        <w:rPr>
          <w:rFonts w:ascii="Arial Narrow" w:eastAsia="Symbol" w:hAnsi="Arial Narrow" w:cs="Times New Roman"/>
          <w:sz w:val="24"/>
          <w:szCs w:val="24"/>
          <w:lang w:eastAsia="es-CO"/>
        </w:rPr>
      </w:pPr>
      <w:r w:rsidRPr="007E0851">
        <w:rPr>
          <w:rFonts w:ascii="Arial Narrow" w:eastAsia="Symbol" w:hAnsi="Arial Narrow" w:cs="Times New Roman"/>
          <w:sz w:val="24"/>
          <w:szCs w:val="24"/>
          <w:lang w:eastAsia="es-CO"/>
        </w:rPr>
        <w:t>En cuanto al punto 3.3 referente a los procesos y procedimientos no hay información publicada, incumpliendo el Articulo 11 Literal C de la Ley 1712 de 2014.</w:t>
      </w:r>
    </w:p>
    <w:p w:rsidR="007E0851" w:rsidRPr="007E0851" w:rsidRDefault="007E0851" w:rsidP="007E0851">
      <w:pPr>
        <w:spacing w:after="0" w:line="240" w:lineRule="auto"/>
        <w:ind w:left="720"/>
        <w:contextualSpacing/>
        <w:jc w:val="both"/>
        <w:rPr>
          <w:rFonts w:ascii="Arial Narrow" w:eastAsia="Symbol" w:hAnsi="Arial Narrow" w:cs="Times New Roman"/>
          <w:sz w:val="24"/>
          <w:szCs w:val="24"/>
          <w:lang w:eastAsia="es-CO"/>
        </w:rPr>
      </w:pPr>
    </w:p>
    <w:p w:rsidR="007E0851" w:rsidRPr="007E0851" w:rsidRDefault="007E0851" w:rsidP="007E0851">
      <w:pPr>
        <w:numPr>
          <w:ilvl w:val="0"/>
          <w:numId w:val="1"/>
        </w:numPr>
        <w:autoSpaceDE w:val="0"/>
        <w:autoSpaceDN w:val="0"/>
        <w:adjustRightInd w:val="0"/>
        <w:spacing w:after="0" w:line="240" w:lineRule="auto"/>
        <w:contextualSpacing/>
        <w:jc w:val="both"/>
        <w:rPr>
          <w:rFonts w:ascii="Arial Narrow" w:eastAsia="Times New Roman" w:hAnsi="Arial Narrow" w:cs="Times New Roman"/>
          <w:sz w:val="24"/>
          <w:szCs w:val="24"/>
          <w:lang w:eastAsia="es-CO"/>
        </w:rPr>
      </w:pPr>
      <w:r w:rsidRPr="007E0851">
        <w:rPr>
          <w:rFonts w:ascii="Arial Narrow" w:eastAsia="Symbol" w:hAnsi="Arial Narrow" w:cs="Times New Roman"/>
          <w:sz w:val="24"/>
          <w:szCs w:val="24"/>
          <w:lang w:eastAsia="es-CO"/>
        </w:rPr>
        <w:t xml:space="preserve">En el punto 3.4 sobre estructura organizacional, cumple su publicación pero se recomienda publicar el manual de funciones incluyendo las nuevas secretarias y </w:t>
      </w:r>
      <w:r w:rsidRPr="007E0851">
        <w:rPr>
          <w:rFonts w:ascii="Arial Narrow" w:hAnsi="Arial Narrow" w:cs="Times New Roman"/>
          <w:sz w:val="24"/>
          <w:szCs w:val="24"/>
        </w:rPr>
        <w:t>ya que se cuenta con el Decreto 0233 de 2017, el cual debe ser manejado y actualizado por la dependencia dispuesta para ello con el fin de dar cumplimiento a la ley.</w:t>
      </w:r>
      <w:r w:rsidRPr="007E0851">
        <w:rPr>
          <w:rFonts w:ascii="Arial Narrow" w:eastAsia="Times New Roman" w:hAnsi="Arial Narrow" w:cs="Times New Roman"/>
          <w:sz w:val="24"/>
          <w:szCs w:val="24"/>
          <w:lang w:eastAsia="es-CO"/>
        </w:rPr>
        <w:t xml:space="preserve"> </w:t>
      </w:r>
    </w:p>
    <w:p w:rsidR="007E0851" w:rsidRPr="007E0851" w:rsidRDefault="007E0851" w:rsidP="007E0851">
      <w:pPr>
        <w:tabs>
          <w:tab w:val="left" w:pos="725"/>
        </w:tabs>
        <w:spacing w:after="0" w:line="221" w:lineRule="auto"/>
        <w:ind w:left="725"/>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21" w:lineRule="auto"/>
        <w:jc w:val="both"/>
        <w:rPr>
          <w:rFonts w:ascii="Arial Narrow" w:eastAsia="Symbol" w:hAnsi="Arial Narrow" w:cs="Times New Roman"/>
          <w:sz w:val="24"/>
          <w:szCs w:val="24"/>
          <w:lang w:eastAsia="es-CO"/>
        </w:rPr>
      </w:pPr>
      <w:r w:rsidRPr="007E0851">
        <w:rPr>
          <w:rFonts w:ascii="Arial Narrow" w:eastAsia="Symbol" w:hAnsi="Arial Narrow" w:cs="Times New Roman"/>
          <w:sz w:val="24"/>
          <w:szCs w:val="24"/>
          <w:lang w:eastAsia="es-CO"/>
        </w:rPr>
        <w:t>No se evidencia la publicación de la rendición de cuentas tal como lo señala el Literal b del artículo 9 de la Ley 1712 de 2014.</w:t>
      </w:r>
    </w:p>
    <w:p w:rsidR="007E0851" w:rsidRPr="007E0851" w:rsidRDefault="007E0851" w:rsidP="007E0851">
      <w:pPr>
        <w:tabs>
          <w:tab w:val="left" w:pos="725"/>
        </w:tabs>
        <w:spacing w:after="0" w:line="221" w:lineRule="auto"/>
        <w:ind w:left="725"/>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21" w:lineRule="auto"/>
        <w:jc w:val="both"/>
        <w:rPr>
          <w:rFonts w:ascii="Arial Narrow" w:eastAsia="Symbol" w:hAnsi="Arial Narrow" w:cs="Times New Roman"/>
          <w:sz w:val="24"/>
          <w:szCs w:val="24"/>
          <w:lang w:eastAsia="es-CO"/>
        </w:rPr>
      </w:pPr>
      <w:r w:rsidRPr="007E0851">
        <w:rPr>
          <w:rFonts w:ascii="Arial Narrow" w:eastAsia="Symbol" w:hAnsi="Arial Narrow" w:cs="Times New Roman"/>
          <w:sz w:val="24"/>
          <w:szCs w:val="24"/>
          <w:lang w:eastAsia="es-CO"/>
        </w:rPr>
        <w:t>La publicación del avance en la ejecución de los proyectos o programas mínimo cada 3 meses, no se encuentra publicado, lo cual incumple lo contemplado en el Literal d del artículo 9 de la Ley 1712 de 2014 y el Artículo 77 de la Ley 1474 de 2011.</w:t>
      </w:r>
    </w:p>
    <w:p w:rsidR="007E0851" w:rsidRPr="007E0851" w:rsidRDefault="007E0851" w:rsidP="007E0851">
      <w:pPr>
        <w:spacing w:after="0" w:line="240" w:lineRule="auto"/>
        <w:ind w:left="720"/>
        <w:contextualSpacing/>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21" w:lineRule="auto"/>
        <w:jc w:val="both"/>
        <w:rPr>
          <w:rFonts w:ascii="Arial Narrow" w:eastAsia="Symbol" w:hAnsi="Arial Narrow" w:cs="Times New Roman"/>
          <w:sz w:val="24"/>
          <w:szCs w:val="24"/>
          <w:lang w:eastAsia="es-CO"/>
        </w:rPr>
      </w:pPr>
      <w:r w:rsidRPr="007E0851">
        <w:rPr>
          <w:rFonts w:ascii="Arial Narrow" w:eastAsia="Symbol" w:hAnsi="Arial Narrow" w:cs="Times New Roman"/>
          <w:sz w:val="24"/>
          <w:szCs w:val="24"/>
          <w:lang w:eastAsia="es-CO"/>
        </w:rPr>
        <w:t>En cuanto al punto 7.1 “Defensa judicial”, se encuentra el link que dirige al manual de defensa judicial del Departamento; sin embargo, no se cumplen con los numerales establecidos sobre publicar el informe de demandas de la entidad trimestralmente.</w:t>
      </w:r>
    </w:p>
    <w:p w:rsidR="007E0851" w:rsidRPr="007E0851" w:rsidRDefault="007E0851" w:rsidP="007E0851">
      <w:pPr>
        <w:spacing w:after="0" w:line="63" w:lineRule="exact"/>
        <w:jc w:val="both"/>
        <w:rPr>
          <w:rFonts w:ascii="Arial Narrow" w:eastAsia="Symbol" w:hAnsi="Arial Narrow" w:cs="Times New Roman"/>
          <w:sz w:val="24"/>
          <w:szCs w:val="24"/>
          <w:lang w:eastAsia="es-CO"/>
        </w:rPr>
      </w:pPr>
    </w:p>
    <w:p w:rsidR="007E0851" w:rsidRPr="007E0851" w:rsidRDefault="007E0851" w:rsidP="007E0851">
      <w:pPr>
        <w:spacing w:after="0" w:line="63" w:lineRule="exact"/>
        <w:jc w:val="both"/>
        <w:rPr>
          <w:rFonts w:ascii="Arial Narrow" w:eastAsia="Symbol" w:hAnsi="Arial Narrow" w:cs="Times New Roman"/>
          <w:sz w:val="24"/>
          <w:szCs w:val="24"/>
          <w:lang w:eastAsia="es-CO"/>
        </w:rPr>
      </w:pPr>
    </w:p>
    <w:p w:rsidR="007E0851" w:rsidRPr="007E0851" w:rsidRDefault="007E0851" w:rsidP="007E0851">
      <w:pPr>
        <w:spacing w:after="0" w:line="63" w:lineRule="exact"/>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13" w:lineRule="auto"/>
        <w:jc w:val="both"/>
        <w:rPr>
          <w:rFonts w:ascii="Arial Narrow" w:eastAsia="Symbol" w:hAnsi="Arial Narrow" w:cs="Times New Roman"/>
          <w:sz w:val="24"/>
          <w:szCs w:val="24"/>
          <w:lang w:eastAsia="es-CO"/>
        </w:rPr>
      </w:pPr>
      <w:r w:rsidRPr="007E0851">
        <w:rPr>
          <w:rFonts w:ascii="Arial Narrow" w:eastAsia="Calibri" w:hAnsi="Arial Narrow" w:cs="Times New Roman"/>
          <w:sz w:val="24"/>
          <w:szCs w:val="24"/>
          <w:lang w:eastAsia="es-CO"/>
        </w:rPr>
        <w:t>Se evidencia que los mecanismos de información del Programa de Gestión Documental, TRD e inventarios documentales y la consulta de los mismos están desactualizados.</w:t>
      </w:r>
    </w:p>
    <w:p w:rsidR="007E0851" w:rsidRPr="007E0851" w:rsidRDefault="007E0851" w:rsidP="007E0851">
      <w:pPr>
        <w:tabs>
          <w:tab w:val="left" w:pos="725"/>
        </w:tabs>
        <w:spacing w:after="0" w:line="213" w:lineRule="auto"/>
        <w:ind w:left="725"/>
        <w:jc w:val="both"/>
        <w:rPr>
          <w:rFonts w:ascii="Arial Narrow" w:eastAsia="Symbol" w:hAnsi="Arial Narrow" w:cs="Times New Roman"/>
          <w:sz w:val="24"/>
          <w:szCs w:val="24"/>
          <w:lang w:eastAsia="es-CO"/>
        </w:rPr>
      </w:pPr>
    </w:p>
    <w:p w:rsidR="007E0851" w:rsidRPr="007E0851" w:rsidRDefault="007E0851" w:rsidP="007E0851">
      <w:pPr>
        <w:spacing w:after="0" w:line="62" w:lineRule="exact"/>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22" w:lineRule="auto"/>
        <w:jc w:val="both"/>
        <w:rPr>
          <w:rFonts w:ascii="Arial Narrow" w:eastAsia="Symbol" w:hAnsi="Arial Narrow" w:cs="Times New Roman"/>
          <w:sz w:val="24"/>
          <w:szCs w:val="24"/>
          <w:lang w:eastAsia="es-CO"/>
        </w:rPr>
      </w:pPr>
      <w:r w:rsidRPr="007E0851">
        <w:rPr>
          <w:rFonts w:ascii="Arial Narrow" w:eastAsia="Calibri" w:hAnsi="Arial Narrow" w:cs="Times New Roman"/>
          <w:sz w:val="24"/>
          <w:szCs w:val="24"/>
          <w:lang w:eastAsia="es-CO"/>
        </w:rPr>
        <w:t>Con el fin de cumplir con el principio la de ofrecer una información oportuna, objetiva, veraz, completa entre otras características, se hace necesario una actualización mensual de la información que lo requiera.</w:t>
      </w:r>
    </w:p>
    <w:p w:rsidR="007E0851" w:rsidRPr="007E0851" w:rsidRDefault="007E0851" w:rsidP="007E0851">
      <w:pPr>
        <w:spacing w:after="0" w:line="240" w:lineRule="auto"/>
        <w:ind w:left="720"/>
        <w:contextualSpacing/>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22" w:lineRule="auto"/>
        <w:jc w:val="both"/>
        <w:rPr>
          <w:rFonts w:ascii="Arial Narrow" w:eastAsia="Symbol" w:hAnsi="Arial Narrow" w:cs="Times New Roman"/>
          <w:sz w:val="24"/>
          <w:szCs w:val="24"/>
          <w:lang w:eastAsia="es-CO"/>
        </w:rPr>
      </w:pPr>
      <w:r w:rsidRPr="007E0851">
        <w:rPr>
          <w:rFonts w:ascii="Arial Narrow" w:eastAsia="Symbol" w:hAnsi="Arial Narrow" w:cs="Times New Roman"/>
          <w:sz w:val="24"/>
          <w:szCs w:val="24"/>
          <w:lang w:eastAsia="es-CO"/>
        </w:rPr>
        <w:t>La publicación de la ejecución de contratos, procedimientos, lineamientos y políticas en materia de adquisiciones y compras no se encuentra publicado, incumpliendo el Articulo 11 Literal g de la Ley 1712 de 2014, y el articulo 9 del decreto 103 de 2015.</w:t>
      </w:r>
    </w:p>
    <w:p w:rsidR="007E0851" w:rsidRPr="007E0851" w:rsidRDefault="007E0851" w:rsidP="007E0851">
      <w:pPr>
        <w:spacing w:after="0" w:line="240" w:lineRule="auto"/>
        <w:ind w:left="720"/>
        <w:contextualSpacing/>
        <w:jc w:val="both"/>
        <w:rPr>
          <w:rFonts w:ascii="Arial Narrow" w:eastAsia="Symbol" w:hAnsi="Arial Narrow" w:cs="Times New Roman"/>
          <w:sz w:val="24"/>
          <w:szCs w:val="24"/>
          <w:lang w:eastAsia="es-CO"/>
        </w:rPr>
      </w:pPr>
    </w:p>
    <w:p w:rsidR="007E0851" w:rsidRPr="007E0851" w:rsidRDefault="007E0851" w:rsidP="007E0851">
      <w:pPr>
        <w:tabs>
          <w:tab w:val="left" w:pos="725"/>
        </w:tabs>
        <w:spacing w:after="0" w:line="222" w:lineRule="auto"/>
        <w:ind w:left="725"/>
        <w:jc w:val="both"/>
        <w:rPr>
          <w:rFonts w:ascii="Arial Narrow" w:eastAsia="Symbol" w:hAnsi="Arial Narrow" w:cs="Times New Roman"/>
          <w:sz w:val="24"/>
          <w:szCs w:val="24"/>
          <w:lang w:eastAsia="es-CO"/>
        </w:rPr>
      </w:pPr>
    </w:p>
    <w:p w:rsidR="007E0851" w:rsidRPr="007E0851" w:rsidRDefault="007E0851" w:rsidP="007E0851">
      <w:pPr>
        <w:spacing w:after="0" w:line="1" w:lineRule="exact"/>
        <w:jc w:val="both"/>
        <w:rPr>
          <w:rFonts w:ascii="Arial Narrow" w:eastAsia="Symbol" w:hAnsi="Arial Narrow" w:cs="Times New Roman"/>
          <w:sz w:val="24"/>
          <w:szCs w:val="24"/>
          <w:lang w:eastAsia="es-CO"/>
        </w:rPr>
      </w:pPr>
    </w:p>
    <w:p w:rsidR="00556E94" w:rsidRPr="00556E94" w:rsidRDefault="00556E94" w:rsidP="007E0851">
      <w:pPr>
        <w:numPr>
          <w:ilvl w:val="0"/>
          <w:numId w:val="1"/>
        </w:numPr>
        <w:tabs>
          <w:tab w:val="left" w:pos="725"/>
        </w:tabs>
        <w:spacing w:after="0" w:line="238" w:lineRule="auto"/>
        <w:jc w:val="both"/>
        <w:rPr>
          <w:rFonts w:ascii="Arial Narrow" w:eastAsia="Symbol" w:hAnsi="Arial Narrow" w:cs="Times New Roman"/>
          <w:sz w:val="24"/>
          <w:szCs w:val="24"/>
          <w:lang w:eastAsia="es-CO"/>
        </w:rPr>
      </w:pPr>
    </w:p>
    <w:p w:rsidR="00295D0B" w:rsidRPr="00295D0B" w:rsidRDefault="00295D0B" w:rsidP="007E0851">
      <w:pPr>
        <w:numPr>
          <w:ilvl w:val="0"/>
          <w:numId w:val="1"/>
        </w:numPr>
        <w:tabs>
          <w:tab w:val="left" w:pos="725"/>
        </w:tabs>
        <w:spacing w:after="0" w:line="238" w:lineRule="auto"/>
        <w:jc w:val="both"/>
        <w:rPr>
          <w:rFonts w:ascii="Arial Narrow" w:eastAsia="Symbol" w:hAnsi="Arial Narrow" w:cs="Times New Roman"/>
          <w:sz w:val="24"/>
          <w:szCs w:val="24"/>
          <w:lang w:eastAsia="es-CO"/>
        </w:rPr>
      </w:pPr>
    </w:p>
    <w:p w:rsidR="007E0851" w:rsidRPr="007E0851" w:rsidRDefault="007E0851" w:rsidP="007E0851">
      <w:pPr>
        <w:numPr>
          <w:ilvl w:val="0"/>
          <w:numId w:val="1"/>
        </w:numPr>
        <w:tabs>
          <w:tab w:val="left" w:pos="725"/>
        </w:tabs>
        <w:spacing w:after="0" w:line="238" w:lineRule="auto"/>
        <w:jc w:val="both"/>
        <w:rPr>
          <w:rFonts w:ascii="Arial Narrow" w:eastAsia="Symbol" w:hAnsi="Arial Narrow" w:cs="Times New Roman"/>
          <w:sz w:val="24"/>
          <w:szCs w:val="24"/>
          <w:lang w:eastAsia="es-CO"/>
        </w:rPr>
      </w:pPr>
      <w:r w:rsidRPr="007E0851">
        <w:rPr>
          <w:rFonts w:ascii="Arial Narrow" w:eastAsia="Calibri" w:hAnsi="Arial Narrow" w:cs="Times New Roman"/>
          <w:sz w:val="24"/>
          <w:szCs w:val="24"/>
          <w:lang w:eastAsia="es-CO"/>
        </w:rPr>
        <w:t>Dar cumplimiento a la información mínima obligatoria requerida por la normatividad.</w:t>
      </w:r>
    </w:p>
    <w:p w:rsidR="007E0851" w:rsidRPr="007E0851" w:rsidRDefault="007E0851" w:rsidP="007E0851">
      <w:pPr>
        <w:spacing w:after="0" w:line="240" w:lineRule="auto"/>
        <w:ind w:left="720"/>
        <w:contextualSpacing/>
        <w:jc w:val="both"/>
        <w:rPr>
          <w:rFonts w:ascii="Arial Narrow" w:eastAsia="Symbol" w:hAnsi="Arial Narrow" w:cs="Times New Roman"/>
          <w:sz w:val="24"/>
          <w:szCs w:val="24"/>
          <w:lang w:eastAsia="es-CO"/>
        </w:rPr>
      </w:pPr>
    </w:p>
    <w:p w:rsidR="007E0851" w:rsidRPr="007E0851" w:rsidRDefault="007E0851" w:rsidP="007E0851">
      <w:pPr>
        <w:rPr>
          <w:rFonts w:ascii="Arial Narrow" w:hAnsi="Arial Narrow" w:cs="Times New Roman"/>
          <w:sz w:val="24"/>
          <w:szCs w:val="24"/>
        </w:rPr>
      </w:pPr>
      <w:proofErr w:type="gramStart"/>
      <w:r>
        <w:rPr>
          <w:rFonts w:ascii="Arial Narrow" w:hAnsi="Arial Narrow" w:cs="Times New Roman"/>
          <w:sz w:val="24"/>
          <w:szCs w:val="24"/>
        </w:rPr>
        <w:t>a</w:t>
      </w:r>
      <w:proofErr w:type="gramEnd"/>
      <w:r w:rsidRPr="007E0851">
        <w:rPr>
          <w:rFonts w:ascii="Arial Narrow" w:hAnsi="Arial Narrow" w:cs="Times New Roman"/>
          <w:sz w:val="24"/>
          <w:szCs w:val="24"/>
        </w:rPr>
        <w:t xml:space="preserve"> continuación se observa el cuadro general del resultado de seguimiento, identificado con cada actividad y el resultado final.</w:t>
      </w:r>
    </w:p>
    <w:p w:rsidR="007E0851" w:rsidRPr="007E0851" w:rsidRDefault="007E0851" w:rsidP="007E0851">
      <w:pPr>
        <w:autoSpaceDE w:val="0"/>
        <w:autoSpaceDN w:val="0"/>
        <w:adjustRightInd w:val="0"/>
        <w:spacing w:after="0" w:line="240" w:lineRule="auto"/>
        <w:jc w:val="both"/>
        <w:rPr>
          <w:rFonts w:ascii="Arial Narrow" w:hAnsi="Arial Narrow" w:cs="Times New Roman"/>
          <w:sz w:val="24"/>
          <w:szCs w:val="24"/>
        </w:rPr>
      </w:pPr>
    </w:p>
    <w:p w:rsidR="007E0851" w:rsidRPr="007E0851" w:rsidRDefault="007E0851" w:rsidP="007E0851">
      <w:pPr>
        <w:autoSpaceDE w:val="0"/>
        <w:autoSpaceDN w:val="0"/>
        <w:adjustRightInd w:val="0"/>
        <w:spacing w:after="0" w:line="240" w:lineRule="auto"/>
        <w:jc w:val="both"/>
        <w:rPr>
          <w:rFonts w:ascii="Arial Narrow" w:eastAsia="Symbol" w:hAnsi="Arial Narrow" w:cs="Times New Roman"/>
          <w:sz w:val="24"/>
          <w:szCs w:val="24"/>
          <w:lang w:eastAsia="es-CO"/>
        </w:rPr>
      </w:pPr>
      <w:r w:rsidRPr="007E0851">
        <w:rPr>
          <w:rFonts w:ascii="Arial Narrow" w:eastAsia="Calibri" w:hAnsi="Arial Narrow" w:cs="Times New Roman"/>
          <w:noProof/>
          <w:sz w:val="24"/>
          <w:szCs w:val="24"/>
          <w:lang w:eastAsia="es-CO"/>
        </w:rPr>
        <w:drawing>
          <wp:inline distT="0" distB="0" distL="0" distR="0" wp14:anchorId="7EB87360" wp14:editId="052F1BD8">
            <wp:extent cx="5612130" cy="3966845"/>
            <wp:effectExtent l="0" t="0" r="26670" b="14605"/>
            <wp:docPr id="2" name="Gráfico 2" title="CUMPLIMIENTO DE LA LEY DE TRANSPARENCI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0851" w:rsidRPr="007E0851" w:rsidRDefault="007E0851" w:rsidP="007E0851">
      <w:pPr>
        <w:spacing w:after="0" w:line="240" w:lineRule="auto"/>
        <w:ind w:left="720"/>
        <w:contextualSpacing/>
        <w:rPr>
          <w:rFonts w:ascii="Arial Narrow" w:eastAsia="Symbol" w:hAnsi="Arial Narrow" w:cs="Times New Roman"/>
          <w:sz w:val="24"/>
          <w:szCs w:val="24"/>
          <w:lang w:eastAsia="es-CO"/>
        </w:rPr>
      </w:pPr>
    </w:p>
    <w:p w:rsidR="007E0851" w:rsidRPr="007E0851" w:rsidRDefault="007E0851" w:rsidP="007E0851">
      <w:pPr>
        <w:spacing w:after="0" w:line="240" w:lineRule="auto"/>
        <w:ind w:left="720"/>
        <w:contextualSpacing/>
        <w:rPr>
          <w:rFonts w:ascii="Arial Narrow" w:eastAsia="Symbol" w:hAnsi="Arial Narrow" w:cs="Times New Roman"/>
          <w:sz w:val="24"/>
          <w:szCs w:val="24"/>
          <w:lang w:eastAsia="es-CO"/>
        </w:rPr>
      </w:pPr>
    </w:p>
    <w:p w:rsidR="007E0851" w:rsidRPr="007E0851" w:rsidRDefault="007E0851" w:rsidP="007E0851">
      <w:pPr>
        <w:spacing w:after="0" w:line="0" w:lineRule="atLeast"/>
        <w:ind w:left="5"/>
        <w:rPr>
          <w:rFonts w:ascii="Arial Narrow" w:eastAsia="Calibri" w:hAnsi="Arial Narrow" w:cs="Times New Roman"/>
          <w:sz w:val="24"/>
          <w:szCs w:val="24"/>
          <w:lang w:eastAsia="es-CO"/>
        </w:rPr>
      </w:pPr>
      <w:r w:rsidRPr="007E0851">
        <w:rPr>
          <w:rFonts w:ascii="Arial Narrow" w:eastAsia="Calibri" w:hAnsi="Arial Narrow" w:cs="Times New Roman"/>
          <w:sz w:val="24"/>
          <w:szCs w:val="24"/>
          <w:lang w:eastAsia="es-CO"/>
        </w:rPr>
        <w:t>El 42.37% cumple con los descrito en la Ley 1712 de 2014</w:t>
      </w:r>
    </w:p>
    <w:p w:rsidR="007E0851" w:rsidRPr="007E0851" w:rsidRDefault="007E0851" w:rsidP="007E0851">
      <w:pPr>
        <w:spacing w:after="0" w:line="0" w:lineRule="atLeast"/>
        <w:ind w:left="5"/>
        <w:rPr>
          <w:rFonts w:ascii="Arial Narrow" w:eastAsia="Calibri" w:hAnsi="Arial Narrow" w:cs="Times New Roman"/>
          <w:sz w:val="24"/>
          <w:szCs w:val="24"/>
          <w:lang w:eastAsia="es-CO"/>
        </w:rPr>
      </w:pPr>
      <w:r w:rsidRPr="007E0851">
        <w:rPr>
          <w:rFonts w:ascii="Arial Narrow" w:eastAsia="Calibri" w:hAnsi="Arial Narrow" w:cs="Times New Roman"/>
          <w:sz w:val="24"/>
          <w:szCs w:val="24"/>
          <w:lang w:eastAsia="es-CO"/>
        </w:rPr>
        <w:t>El 35.59 % de los ítems evaluados debe realizar ajustes</w:t>
      </w:r>
    </w:p>
    <w:p w:rsidR="007E0851" w:rsidRPr="007E0851" w:rsidRDefault="007E0851" w:rsidP="007E0851">
      <w:pPr>
        <w:spacing w:after="0" w:line="0" w:lineRule="atLeast"/>
        <w:ind w:left="5"/>
        <w:rPr>
          <w:rFonts w:ascii="Arial Narrow" w:eastAsia="Calibri" w:hAnsi="Arial Narrow" w:cs="Times New Roman"/>
          <w:sz w:val="24"/>
          <w:szCs w:val="24"/>
          <w:lang w:eastAsia="es-CO"/>
        </w:rPr>
      </w:pPr>
      <w:r w:rsidRPr="007E0851">
        <w:rPr>
          <w:rFonts w:ascii="Arial Narrow" w:eastAsia="Calibri" w:hAnsi="Arial Narrow" w:cs="Times New Roman"/>
          <w:sz w:val="24"/>
          <w:szCs w:val="24"/>
          <w:lang w:eastAsia="es-CO"/>
        </w:rPr>
        <w:t xml:space="preserve">El 22 % de los ítems evaluados no se evidencia publicación o implementación dentro de la Gobernación del Magdalena. </w:t>
      </w:r>
    </w:p>
    <w:p w:rsidR="007E0851" w:rsidRPr="007E0851" w:rsidRDefault="007E0851" w:rsidP="007E0851">
      <w:pPr>
        <w:spacing w:after="0" w:line="0" w:lineRule="atLeast"/>
        <w:ind w:left="5"/>
        <w:rPr>
          <w:rFonts w:ascii="Arial Narrow" w:eastAsia="Calibri" w:hAnsi="Arial Narrow" w:cs="Times New Roman"/>
          <w:sz w:val="24"/>
          <w:szCs w:val="24"/>
          <w:lang w:eastAsia="es-CO"/>
        </w:rPr>
      </w:pPr>
    </w:p>
    <w:p w:rsidR="007E0851" w:rsidRDefault="007E0851"/>
    <w:p w:rsidR="00420C11" w:rsidRDefault="00420C11"/>
    <w:p w:rsidR="00420C11" w:rsidRDefault="00420C11"/>
    <w:p w:rsidR="00420C11" w:rsidRDefault="00420C11"/>
    <w:p w:rsidR="00420C11" w:rsidRPr="00CD5053" w:rsidRDefault="00420C11">
      <w:pPr>
        <w:rPr>
          <w:rFonts w:ascii="Arial Narrow" w:hAnsi="Arial Narrow"/>
          <w:sz w:val="24"/>
        </w:rPr>
      </w:pPr>
      <w:r w:rsidRPr="00CD5053">
        <w:rPr>
          <w:rFonts w:ascii="Arial Narrow" w:eastAsia="Times New Roman" w:hAnsi="Arial Narrow" w:cs="Calibri"/>
          <w:color w:val="000000"/>
          <w:sz w:val="24"/>
          <w:lang w:eastAsia="es-CO"/>
        </w:rPr>
        <w:t>Seguimiento al Plan de Anticorrupción y de Atención al Ciudadano</w:t>
      </w:r>
    </w:p>
    <w:p w:rsidR="00420C11" w:rsidRPr="00CD5053" w:rsidRDefault="00420C11">
      <w:pPr>
        <w:rPr>
          <w:rFonts w:ascii="Arial Narrow" w:hAnsi="Arial Narrow"/>
          <w:sz w:val="24"/>
        </w:rPr>
      </w:pPr>
      <w:r w:rsidRPr="00CD5053">
        <w:rPr>
          <w:rFonts w:ascii="Arial Narrow" w:eastAsia="Times New Roman" w:hAnsi="Arial Narrow" w:cs="Calibri"/>
          <w:color w:val="000000"/>
          <w:sz w:val="24"/>
          <w:lang w:eastAsia="es-CO"/>
        </w:rPr>
        <w:t>Cargue de Información en la Plataforma SIRECI de planes de mejoramiento producto de auditorias</w:t>
      </w:r>
    </w:p>
    <w:p w:rsidR="00420C11" w:rsidRPr="00CD5053" w:rsidRDefault="00420C11">
      <w:pPr>
        <w:rPr>
          <w:rFonts w:ascii="Arial Narrow" w:eastAsia="Times New Roman" w:hAnsi="Arial Narrow" w:cs="Calibri"/>
          <w:color w:val="000000"/>
          <w:sz w:val="24"/>
          <w:lang w:eastAsia="es-CO"/>
        </w:rPr>
      </w:pPr>
      <w:r w:rsidRPr="00CD5053">
        <w:rPr>
          <w:rFonts w:ascii="Arial Narrow" w:eastAsia="Times New Roman" w:hAnsi="Arial Narrow" w:cs="Calibri"/>
          <w:color w:val="000000"/>
          <w:sz w:val="24"/>
          <w:lang w:eastAsia="es-CO"/>
        </w:rPr>
        <w:t>Seguimiento a Plan de Mejoramiento en la plataforma SIRECI de la Contraloría General de la Republica, producto de los hallazgos encontrados en Regalías y SGP</w:t>
      </w:r>
    </w:p>
    <w:p w:rsidR="00420C11" w:rsidRPr="00CD5053" w:rsidRDefault="00420C11">
      <w:pPr>
        <w:rPr>
          <w:rFonts w:ascii="Arial Narrow" w:eastAsia="Times New Roman" w:hAnsi="Arial Narrow" w:cs="Calibri"/>
          <w:color w:val="000000"/>
          <w:sz w:val="24"/>
          <w:lang w:eastAsia="es-CO"/>
        </w:rPr>
      </w:pPr>
      <w:r w:rsidRPr="00CD5053">
        <w:rPr>
          <w:rFonts w:ascii="Arial Narrow" w:eastAsia="Times New Roman" w:hAnsi="Arial Narrow" w:cs="Calibri"/>
          <w:color w:val="000000"/>
          <w:sz w:val="24"/>
          <w:lang w:eastAsia="es-CO"/>
        </w:rPr>
        <w:t>Seguimiento a plan de mejoramiento Secretaria de Educación</w:t>
      </w:r>
    </w:p>
    <w:p w:rsidR="00420C11" w:rsidRPr="00CD5053" w:rsidRDefault="00420C11">
      <w:pPr>
        <w:rPr>
          <w:rFonts w:ascii="Arial Narrow" w:eastAsia="Times New Roman" w:hAnsi="Arial Narrow" w:cs="Calibri"/>
          <w:color w:val="000000"/>
          <w:sz w:val="24"/>
          <w:lang w:eastAsia="es-CO"/>
        </w:rPr>
      </w:pPr>
      <w:r w:rsidRPr="00CD5053">
        <w:rPr>
          <w:rFonts w:ascii="Arial Narrow" w:eastAsia="Times New Roman" w:hAnsi="Arial Narrow" w:cs="Calibri"/>
          <w:color w:val="000000"/>
          <w:sz w:val="24"/>
          <w:lang w:eastAsia="es-CO"/>
        </w:rPr>
        <w:t>Informe</w:t>
      </w:r>
      <w:r w:rsidR="00295D0B">
        <w:rPr>
          <w:rFonts w:ascii="Arial Narrow" w:eastAsia="Times New Roman" w:hAnsi="Arial Narrow" w:cs="Calibri"/>
          <w:color w:val="000000"/>
          <w:sz w:val="24"/>
          <w:lang w:eastAsia="es-CO"/>
        </w:rPr>
        <w:t>s</w:t>
      </w:r>
      <w:r w:rsidRPr="00CD5053">
        <w:rPr>
          <w:rFonts w:ascii="Arial Narrow" w:eastAsia="Times New Roman" w:hAnsi="Arial Narrow" w:cs="Calibri"/>
          <w:color w:val="000000"/>
          <w:sz w:val="24"/>
          <w:lang w:eastAsia="es-CO"/>
        </w:rPr>
        <w:t xml:space="preserve"> de seguimiento a la delegación de facultades (contratación) de la Secretaria de Educación, Secretario General, Oficina Asesora Jurídica por parte de la Gobernadora.</w:t>
      </w:r>
    </w:p>
    <w:p w:rsidR="00420C11" w:rsidRPr="00CD5053" w:rsidRDefault="00295D0B">
      <w:pPr>
        <w:rPr>
          <w:rFonts w:ascii="Arial Narrow" w:hAnsi="Arial Narrow"/>
          <w:sz w:val="24"/>
        </w:rPr>
      </w:pPr>
      <w:r>
        <w:rPr>
          <w:rFonts w:ascii="Arial Narrow" w:eastAsia="Times New Roman" w:hAnsi="Arial Narrow" w:cs="Calibri"/>
          <w:color w:val="000000"/>
          <w:sz w:val="24"/>
          <w:lang w:eastAsia="es-CO"/>
        </w:rPr>
        <w:t xml:space="preserve">Se </w:t>
      </w:r>
      <w:r w:rsidR="00420C11" w:rsidRPr="00CD5053">
        <w:rPr>
          <w:rFonts w:ascii="Arial Narrow" w:eastAsia="Times New Roman" w:hAnsi="Arial Narrow" w:cs="Calibri"/>
          <w:color w:val="000000"/>
          <w:sz w:val="24"/>
          <w:lang w:eastAsia="es-CO"/>
        </w:rPr>
        <w:t>Elaboró del Código de Ética del Auditor Interno</w:t>
      </w:r>
      <w:r>
        <w:rPr>
          <w:rFonts w:ascii="Arial Narrow" w:eastAsia="Times New Roman" w:hAnsi="Arial Narrow" w:cs="Calibri"/>
          <w:color w:val="000000"/>
          <w:sz w:val="24"/>
          <w:lang w:eastAsia="es-CO"/>
        </w:rPr>
        <w:t>, por parte de un funcionario de esta dependencia</w:t>
      </w:r>
    </w:p>
    <w:p w:rsidR="00420C11" w:rsidRPr="00CD5053" w:rsidRDefault="00295D0B">
      <w:pPr>
        <w:rPr>
          <w:rFonts w:ascii="Arial Narrow" w:hAnsi="Arial Narrow"/>
          <w:sz w:val="24"/>
          <w:szCs w:val="24"/>
        </w:rPr>
      </w:pPr>
      <w:r>
        <w:rPr>
          <w:rFonts w:ascii="Arial Narrow" w:eastAsia="Times New Roman" w:hAnsi="Arial Narrow" w:cs="Calibri"/>
          <w:color w:val="000000"/>
          <w:sz w:val="24"/>
          <w:szCs w:val="24"/>
          <w:lang w:eastAsia="es-CO"/>
        </w:rPr>
        <w:t xml:space="preserve">Se recibieron visitas de los entes de Control como </w:t>
      </w:r>
      <w:r w:rsidR="006018C5" w:rsidRPr="00CD5053">
        <w:rPr>
          <w:rFonts w:ascii="Arial Narrow" w:eastAsia="Times New Roman" w:hAnsi="Arial Narrow" w:cs="Calibri"/>
          <w:color w:val="000000"/>
          <w:sz w:val="24"/>
          <w:szCs w:val="24"/>
          <w:lang w:eastAsia="es-CO"/>
        </w:rPr>
        <w:t>Contraloría General de</w:t>
      </w:r>
      <w:r>
        <w:rPr>
          <w:rFonts w:ascii="Arial Narrow" w:eastAsia="Times New Roman" w:hAnsi="Arial Narrow" w:cs="Calibri"/>
          <w:color w:val="000000"/>
          <w:sz w:val="24"/>
          <w:szCs w:val="24"/>
          <w:lang w:eastAsia="es-CO"/>
        </w:rPr>
        <w:t xml:space="preserve"> la República,</w:t>
      </w:r>
      <w:r w:rsidR="006018C5" w:rsidRPr="00CD5053">
        <w:rPr>
          <w:rFonts w:ascii="Arial Narrow" w:eastAsia="Times New Roman" w:hAnsi="Arial Narrow" w:cs="Calibri"/>
          <w:color w:val="000000"/>
          <w:sz w:val="24"/>
          <w:szCs w:val="24"/>
          <w:lang w:eastAsia="es-CO"/>
        </w:rPr>
        <w:t xml:space="preserve"> Procuraduría General, Fiscalía General de la </w:t>
      </w:r>
      <w:r w:rsidR="00CD5053" w:rsidRPr="00CD5053">
        <w:rPr>
          <w:rFonts w:ascii="Arial Narrow" w:eastAsia="Times New Roman" w:hAnsi="Arial Narrow" w:cs="Calibri"/>
          <w:color w:val="000000"/>
          <w:sz w:val="24"/>
          <w:szCs w:val="24"/>
          <w:lang w:eastAsia="es-CO"/>
        </w:rPr>
        <w:t>Nación</w:t>
      </w:r>
      <w:r>
        <w:rPr>
          <w:rFonts w:ascii="Arial Narrow" w:eastAsia="Times New Roman" w:hAnsi="Arial Narrow" w:cs="Calibri"/>
          <w:color w:val="000000"/>
          <w:sz w:val="24"/>
          <w:szCs w:val="24"/>
          <w:lang w:eastAsia="es-CO"/>
        </w:rPr>
        <w:t>.</w:t>
      </w:r>
    </w:p>
    <w:p w:rsidR="00420C11" w:rsidRDefault="00420C11"/>
    <w:p w:rsidR="00295D0B" w:rsidRDefault="00295D0B" w:rsidP="00295D0B">
      <w:pPr>
        <w:spacing w:after="0"/>
        <w:jc w:val="center"/>
        <w:rPr>
          <w:b/>
        </w:rPr>
      </w:pPr>
    </w:p>
    <w:p w:rsidR="00295D0B" w:rsidRDefault="00295D0B" w:rsidP="00295D0B">
      <w:pPr>
        <w:spacing w:after="0"/>
        <w:jc w:val="center"/>
        <w:rPr>
          <w:b/>
        </w:rPr>
      </w:pPr>
    </w:p>
    <w:p w:rsidR="00295D0B" w:rsidRDefault="00295D0B" w:rsidP="00295D0B">
      <w:pPr>
        <w:spacing w:after="0"/>
        <w:jc w:val="center"/>
        <w:rPr>
          <w:b/>
        </w:rPr>
      </w:pPr>
    </w:p>
    <w:p w:rsidR="00295D0B" w:rsidRDefault="00295D0B" w:rsidP="00295D0B">
      <w:pPr>
        <w:spacing w:after="0"/>
        <w:jc w:val="center"/>
        <w:rPr>
          <w:b/>
        </w:rPr>
      </w:pPr>
    </w:p>
    <w:p w:rsidR="00420C11" w:rsidRPr="00295D0B" w:rsidRDefault="00295D0B" w:rsidP="00295D0B">
      <w:pPr>
        <w:spacing w:after="0"/>
        <w:jc w:val="center"/>
        <w:rPr>
          <w:b/>
        </w:rPr>
      </w:pPr>
      <w:r w:rsidRPr="00295D0B">
        <w:rPr>
          <w:b/>
        </w:rPr>
        <w:t xml:space="preserve">MARIO SANJUANELO DURAN </w:t>
      </w:r>
    </w:p>
    <w:p w:rsidR="00295D0B" w:rsidRDefault="00295D0B" w:rsidP="00295D0B">
      <w:pPr>
        <w:spacing w:after="0"/>
        <w:jc w:val="center"/>
      </w:pPr>
      <w:r>
        <w:t>Jefe de la Oficina de Control Interno</w:t>
      </w:r>
    </w:p>
    <w:p w:rsidR="00295D0B" w:rsidRDefault="00295D0B" w:rsidP="00295D0B">
      <w:pPr>
        <w:jc w:val="center"/>
      </w:pPr>
    </w:p>
    <w:p w:rsidR="00420C11" w:rsidRDefault="00420C11"/>
    <w:p w:rsidR="00420C11" w:rsidRDefault="00420C11"/>
    <w:p w:rsidR="00420C11" w:rsidRDefault="00420C11"/>
    <w:p w:rsidR="00420C11" w:rsidRDefault="00420C11"/>
    <w:p w:rsidR="00420C11" w:rsidRDefault="00420C11"/>
    <w:p w:rsidR="00420C11" w:rsidRDefault="00420C11">
      <w:bookmarkStart w:id="0" w:name="_GoBack"/>
      <w:bookmarkEnd w:id="0"/>
    </w:p>
    <w:sectPr w:rsidR="00420C1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623" w:rsidRDefault="00B81623" w:rsidP="00915858">
      <w:pPr>
        <w:spacing w:after="0" w:line="240" w:lineRule="auto"/>
      </w:pPr>
      <w:r>
        <w:separator/>
      </w:r>
    </w:p>
  </w:endnote>
  <w:endnote w:type="continuationSeparator" w:id="0">
    <w:p w:rsidR="00B81623" w:rsidRDefault="00B81623" w:rsidP="0091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58" w:rsidRPr="00BE466A" w:rsidRDefault="00915858" w:rsidP="00915858">
    <w:pPr>
      <w:tabs>
        <w:tab w:val="center" w:pos="4419"/>
        <w:tab w:val="right" w:pos="8838"/>
      </w:tabs>
      <w:spacing w:after="0" w:line="240" w:lineRule="auto"/>
      <w:jc w:val="center"/>
      <w:rPr>
        <w:rFonts w:ascii="Eras Light ITC" w:eastAsia="Times New Roman" w:hAnsi="Eras Light ITC" w:cs="Times New Roman"/>
        <w:b/>
        <w:i/>
        <w:sz w:val="18"/>
        <w:szCs w:val="18"/>
        <w:lang w:eastAsia="es-ES"/>
      </w:rPr>
    </w:pPr>
    <w:r w:rsidRPr="00BE466A">
      <w:rPr>
        <w:rFonts w:ascii="Eras Light ITC" w:eastAsia="Times New Roman" w:hAnsi="Eras Light ITC" w:cs="Times New Roman"/>
        <w:b/>
        <w:i/>
        <w:sz w:val="18"/>
        <w:szCs w:val="18"/>
        <w:lang w:eastAsia="es-ES"/>
      </w:rPr>
      <w:t>======================================================================================</w:t>
    </w:r>
  </w:p>
  <w:p w:rsidR="00915858" w:rsidRPr="00BE466A" w:rsidRDefault="00915858" w:rsidP="00915858">
    <w:pPr>
      <w:tabs>
        <w:tab w:val="center" w:pos="4419"/>
        <w:tab w:val="right" w:pos="8838"/>
      </w:tabs>
      <w:spacing w:after="0" w:line="240" w:lineRule="auto"/>
      <w:jc w:val="center"/>
      <w:rPr>
        <w:rFonts w:ascii="Arial Narrow" w:eastAsia="Times New Roman" w:hAnsi="Arial Narrow" w:cs="Times New Roman"/>
        <w:b/>
        <w:i/>
        <w:sz w:val="18"/>
        <w:szCs w:val="18"/>
        <w:lang w:eastAsia="es-ES"/>
      </w:rPr>
    </w:pPr>
    <w:r>
      <w:rPr>
        <w:rFonts w:ascii="Arial Narrow" w:eastAsia="Times New Roman" w:hAnsi="Arial Narrow" w:cs="Times New Roman"/>
        <w:b/>
        <w:i/>
        <w:sz w:val="18"/>
        <w:szCs w:val="18"/>
        <w:lang w:eastAsia="es-ES"/>
      </w:rPr>
      <w:t xml:space="preserve">“El Magdalena Social es la </w:t>
    </w:r>
    <w:proofErr w:type="spellStart"/>
    <w:r>
      <w:rPr>
        <w:rFonts w:ascii="Arial Narrow" w:eastAsia="Times New Roman" w:hAnsi="Arial Narrow" w:cs="Times New Roman"/>
        <w:b/>
        <w:i/>
        <w:sz w:val="18"/>
        <w:szCs w:val="18"/>
        <w:lang w:eastAsia="es-ES"/>
      </w:rPr>
      <w:t>via</w:t>
    </w:r>
    <w:proofErr w:type="spellEnd"/>
    <w:r w:rsidRPr="00BE466A">
      <w:rPr>
        <w:rFonts w:ascii="Arial Narrow" w:eastAsia="Times New Roman" w:hAnsi="Arial Narrow" w:cs="Times New Roman"/>
        <w:b/>
        <w:i/>
        <w:sz w:val="18"/>
        <w:szCs w:val="18"/>
        <w:lang w:eastAsia="es-ES"/>
      </w:rPr>
      <w:t>”</w:t>
    </w:r>
  </w:p>
  <w:p w:rsidR="00915858" w:rsidRPr="00BE466A" w:rsidRDefault="00915858" w:rsidP="00915858">
    <w:pPr>
      <w:spacing w:after="0" w:line="240" w:lineRule="auto"/>
      <w:jc w:val="center"/>
      <w:rPr>
        <w:rFonts w:ascii="Arial Narrow" w:eastAsia="Times New Roman" w:hAnsi="Arial Narrow" w:cs="Times New Roman"/>
        <w:i/>
        <w:sz w:val="18"/>
        <w:szCs w:val="18"/>
        <w:lang w:eastAsia="es-ES"/>
      </w:rPr>
    </w:pPr>
    <w:r w:rsidRPr="00BE466A">
      <w:rPr>
        <w:rFonts w:ascii="Arial Narrow" w:eastAsia="Times New Roman" w:hAnsi="Arial Narrow" w:cs="Times New Roman"/>
        <w:i/>
        <w:sz w:val="18"/>
        <w:szCs w:val="18"/>
        <w:lang w:eastAsia="es-ES"/>
      </w:rPr>
      <w:t>Carrera 1 No. 16 – 15(Palacio Tayrona)</w:t>
    </w:r>
  </w:p>
  <w:p w:rsidR="00915858" w:rsidRPr="00BE466A" w:rsidRDefault="00915858" w:rsidP="00915858">
    <w:pPr>
      <w:spacing w:after="0" w:line="240" w:lineRule="auto"/>
      <w:jc w:val="center"/>
      <w:rPr>
        <w:rFonts w:ascii="Arial Narrow" w:eastAsia="Times New Roman" w:hAnsi="Arial Narrow" w:cs="Times New Roman"/>
        <w:i/>
        <w:sz w:val="18"/>
        <w:szCs w:val="18"/>
        <w:lang w:eastAsia="es-ES"/>
      </w:rPr>
    </w:pPr>
    <w:proofErr w:type="spellStart"/>
    <w:r w:rsidRPr="00BE466A">
      <w:rPr>
        <w:rFonts w:ascii="Arial Narrow" w:eastAsia="Times New Roman" w:hAnsi="Arial Narrow" w:cs="Times New Roman"/>
        <w:i/>
        <w:sz w:val="18"/>
        <w:szCs w:val="18"/>
        <w:lang w:eastAsia="es-ES"/>
      </w:rPr>
      <w:t>Pagina</w:t>
    </w:r>
    <w:proofErr w:type="spellEnd"/>
    <w:r w:rsidRPr="00BE466A">
      <w:rPr>
        <w:rFonts w:ascii="Arial Narrow" w:eastAsia="Times New Roman" w:hAnsi="Arial Narrow" w:cs="Times New Roman"/>
        <w:i/>
        <w:sz w:val="18"/>
        <w:szCs w:val="18"/>
        <w:lang w:eastAsia="es-ES"/>
      </w:rPr>
      <w:t xml:space="preserve"> Web: www.gobmagdalena.gov.co</w:t>
    </w:r>
  </w:p>
  <w:p w:rsidR="00915858" w:rsidRPr="00BE466A" w:rsidRDefault="00915858" w:rsidP="00915858">
    <w:pPr>
      <w:tabs>
        <w:tab w:val="left" w:pos="1560"/>
        <w:tab w:val="center" w:pos="4419"/>
      </w:tabs>
      <w:spacing w:after="0" w:line="240" w:lineRule="auto"/>
      <w:rPr>
        <w:rFonts w:ascii="Arial Narrow" w:eastAsia="Times New Roman" w:hAnsi="Arial Narrow" w:cs="Times New Roman"/>
        <w:sz w:val="18"/>
        <w:szCs w:val="18"/>
        <w:lang w:eastAsia="es-ES"/>
      </w:rPr>
    </w:pPr>
    <w:r w:rsidRPr="00BE466A">
      <w:rPr>
        <w:rFonts w:ascii="Arial Narrow" w:eastAsia="Times New Roman" w:hAnsi="Arial Narrow" w:cs="Times New Roman"/>
        <w:sz w:val="18"/>
        <w:szCs w:val="18"/>
        <w:lang w:eastAsia="es-ES"/>
      </w:rPr>
      <w:tab/>
    </w:r>
    <w:r w:rsidRPr="00BE466A">
      <w:rPr>
        <w:rFonts w:ascii="Arial Narrow" w:eastAsia="Times New Roman" w:hAnsi="Arial Narrow" w:cs="Times New Roman"/>
        <w:sz w:val="18"/>
        <w:szCs w:val="18"/>
        <w:lang w:eastAsia="es-ES"/>
      </w:rPr>
      <w:tab/>
      <w:t>Tel. 4381156 -  Santa Marta (Magdalena)</w:t>
    </w:r>
  </w:p>
  <w:p w:rsidR="00915858" w:rsidRPr="00BE466A" w:rsidRDefault="00915858" w:rsidP="00915858">
    <w:pPr>
      <w:tabs>
        <w:tab w:val="center" w:pos="4419"/>
        <w:tab w:val="right" w:pos="8838"/>
      </w:tabs>
      <w:spacing w:after="0" w:line="240" w:lineRule="auto"/>
      <w:rPr>
        <w:rFonts w:ascii="Arial Narrow" w:eastAsia="Times New Roman" w:hAnsi="Arial Narrow" w:cs="Times New Roman"/>
        <w:sz w:val="24"/>
        <w:szCs w:val="24"/>
        <w:lang w:eastAsia="es-ES"/>
      </w:rPr>
    </w:pPr>
  </w:p>
  <w:p w:rsidR="00915858" w:rsidRDefault="00915858" w:rsidP="0091585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623" w:rsidRDefault="00B81623" w:rsidP="00915858">
      <w:pPr>
        <w:spacing w:after="0" w:line="240" w:lineRule="auto"/>
      </w:pPr>
      <w:r>
        <w:separator/>
      </w:r>
    </w:p>
  </w:footnote>
  <w:footnote w:type="continuationSeparator" w:id="0">
    <w:p w:rsidR="00B81623" w:rsidRDefault="00B81623" w:rsidP="00915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858" w:rsidRPr="00CE100D" w:rsidRDefault="00915858" w:rsidP="00915858">
    <w:pPr>
      <w:tabs>
        <w:tab w:val="center" w:pos="4419"/>
        <w:tab w:val="left" w:pos="7110"/>
        <w:tab w:val="right" w:pos="8838"/>
      </w:tabs>
      <w:spacing w:after="0" w:line="240" w:lineRule="auto"/>
      <w:rPr>
        <w:rFonts w:ascii="Arial Narrow" w:eastAsia="Times New Roman" w:hAnsi="Arial Narrow" w:cs="Times New Roman"/>
        <w:b/>
        <w:iCs/>
        <w:sz w:val="24"/>
        <w:szCs w:val="24"/>
        <w:lang w:val="es-ES" w:eastAsia="es-ES"/>
      </w:rPr>
    </w:pPr>
    <w:r w:rsidRPr="00CE100D">
      <w:rPr>
        <w:rFonts w:ascii="Arial Narrow" w:eastAsia="Times New Roman" w:hAnsi="Arial Narrow" w:cs="Times New Roman"/>
        <w:b/>
        <w:noProof/>
        <w:sz w:val="24"/>
        <w:szCs w:val="24"/>
        <w:lang w:eastAsia="es-CO"/>
      </w:rPr>
      <mc:AlternateContent>
        <mc:Choice Requires="wps">
          <w:drawing>
            <wp:anchor distT="0" distB="0" distL="114300" distR="114300" simplePos="0" relativeHeight="251659264" behindDoc="0" locked="0" layoutInCell="1" allowOverlap="1" wp14:anchorId="1646975C" wp14:editId="2D2957E6">
              <wp:simplePos x="0" y="0"/>
              <wp:positionH relativeFrom="column">
                <wp:posOffset>-519418</wp:posOffset>
              </wp:positionH>
              <wp:positionV relativeFrom="paragraph">
                <wp:posOffset>-277052</wp:posOffset>
              </wp:positionV>
              <wp:extent cx="1781175" cy="974426"/>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974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58" w:rsidRPr="002D0045" w:rsidRDefault="00915858" w:rsidP="00915858">
                          <w:pPr>
                            <w:jc w:val="center"/>
                            <w:rPr>
                              <w:color w:val="000080"/>
                            </w:rPr>
                          </w:pPr>
                          <w:r w:rsidRPr="002D0045">
                            <w:rPr>
                              <w:color w:val="000080"/>
                            </w:rPr>
                            <w:object w:dxaOrig="4141" w:dyaOrig="4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50.25pt" o:ole="">
                                <v:imagedata r:id="rId1" o:title=""/>
                              </v:shape>
                              <o:OLEObject Type="Embed" ProgID="MSPhotoEd.3" ShapeID="_x0000_i1025" DrawAspect="Content" ObjectID="_1573635473" r:id="rId2"/>
                            </w:object>
                          </w:r>
                        </w:p>
                        <w:p w:rsidR="00915858" w:rsidRDefault="00915858" w:rsidP="00915858">
                          <w:pPr>
                            <w:pStyle w:val="Encabezado"/>
                            <w:jc w:val="center"/>
                            <w:rPr>
                              <w:rFonts w:ascii="Arial Narrow" w:hAnsi="Arial Narrow"/>
                              <w:b/>
                              <w:sz w:val="20"/>
                              <w:szCs w:val="20"/>
                            </w:rPr>
                          </w:pPr>
                          <w:r>
                            <w:rPr>
                              <w:rFonts w:ascii="Vivaldi" w:hAnsi="Vivaldi"/>
                              <w:b/>
                              <w:sz w:val="20"/>
                              <w:szCs w:val="20"/>
                            </w:rPr>
                            <w:t xml:space="preserve"> </w:t>
                          </w:r>
                          <w:r w:rsidRPr="00E314D2">
                            <w:rPr>
                              <w:rFonts w:ascii="Arial Narrow" w:hAnsi="Arial Narrow"/>
                              <w:b/>
                              <w:sz w:val="20"/>
                              <w:szCs w:val="20"/>
                            </w:rPr>
                            <w:t>Gobernación del</w:t>
                          </w:r>
                          <w:r>
                            <w:rPr>
                              <w:rFonts w:ascii="Arial Narrow" w:hAnsi="Arial Narrow"/>
                              <w:b/>
                              <w:sz w:val="20"/>
                              <w:szCs w:val="20"/>
                            </w:rPr>
                            <w:t xml:space="preserve"> Magdalena</w:t>
                          </w:r>
                        </w:p>
                        <w:p w:rsidR="00915858" w:rsidRDefault="00915858" w:rsidP="00915858">
                          <w:pPr>
                            <w:pStyle w:val="Encabezado"/>
                            <w:jc w:val="center"/>
                            <w:rPr>
                              <w:rFonts w:ascii="Arial Narrow" w:hAnsi="Arial Narrow"/>
                              <w:b/>
                              <w:sz w:val="20"/>
                              <w:szCs w:val="20"/>
                            </w:rPr>
                          </w:pPr>
                        </w:p>
                        <w:p w:rsidR="00915858" w:rsidRDefault="00915858" w:rsidP="00915858">
                          <w:pPr>
                            <w:pStyle w:val="Encabezado"/>
                            <w:jc w:val="center"/>
                            <w:rPr>
                              <w:rFonts w:ascii="Arial Narrow" w:hAnsi="Arial Narrow"/>
                              <w:b/>
                              <w:sz w:val="20"/>
                              <w:szCs w:val="20"/>
                            </w:rPr>
                          </w:pPr>
                        </w:p>
                        <w:p w:rsidR="00915858" w:rsidRPr="00E314D2" w:rsidRDefault="00915858" w:rsidP="00915858">
                          <w:pPr>
                            <w:pStyle w:val="Encabezado"/>
                            <w:jc w:val="center"/>
                            <w:rPr>
                              <w:rFonts w:ascii="Arial Narrow" w:hAnsi="Arial Narrow"/>
                              <w:b/>
                              <w:sz w:val="20"/>
                              <w:szCs w:val="20"/>
                            </w:rPr>
                          </w:pPr>
                        </w:p>
                        <w:p w:rsidR="00915858" w:rsidRPr="00E314D2" w:rsidRDefault="00915858" w:rsidP="00915858">
                          <w:pPr>
                            <w:jc w:val="center"/>
                            <w:rPr>
                              <w:rFonts w:ascii="Arial Narrow" w:hAnsi="Arial Narrow"/>
                              <w:sz w:val="20"/>
                              <w:szCs w:val="20"/>
                            </w:rPr>
                          </w:pPr>
                          <w:r w:rsidRPr="00E314D2">
                            <w:rPr>
                              <w:rFonts w:ascii="Arial Narrow" w:hAnsi="Arial Narrow"/>
                              <w:b/>
                              <w:sz w:val="20"/>
                              <w:szCs w:val="20"/>
                            </w:rPr>
                            <w:t>Magdalena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0.9pt;margin-top:-21.8pt;width:140.25pt;height: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" filled="f" stroked="f">
              <v:textbox>
                <w:txbxContent>
                  <w:p w:rsidR="00915858" w:rsidRPr="002D0045" w:rsidRDefault="00915858" w:rsidP="00915858">
                    <w:pPr>
                      <w:jc w:val="center"/>
                      <w:rPr>
                        <w:color w:val="000080"/>
                      </w:rPr>
                    </w:pPr>
                    <w:r w:rsidRPr="002D0045">
                      <w:rPr>
                        <w:color w:val="000080"/>
                      </w:rPr>
                      <w:object w:dxaOrig="4141" w:dyaOrig="4889">
                        <v:shape id="_x0000_i1025" type="#_x0000_t75" style="width:42.8pt;height:50.25pt" o:ole="">
                          <v:imagedata r:id="rId3" o:title=""/>
                        </v:shape>
                        <o:OLEObject Type="Embed" ProgID="MSPhotoEd.3" ShapeID="_x0000_i1025" DrawAspect="Content" ObjectID="_1573396588" r:id="rId4"/>
                      </w:object>
                    </w:r>
                  </w:p>
                  <w:p w:rsidR="00915858" w:rsidRDefault="00915858" w:rsidP="00915858">
                    <w:pPr>
                      <w:pStyle w:val="Encabezado"/>
                      <w:jc w:val="center"/>
                      <w:rPr>
                        <w:rFonts w:ascii="Arial Narrow" w:hAnsi="Arial Narrow"/>
                        <w:b/>
                        <w:sz w:val="20"/>
                        <w:szCs w:val="20"/>
                      </w:rPr>
                    </w:pPr>
                    <w:r>
                      <w:rPr>
                        <w:rFonts w:ascii="Vivaldi" w:hAnsi="Vivaldi"/>
                        <w:b/>
                        <w:sz w:val="20"/>
                        <w:szCs w:val="20"/>
                      </w:rPr>
                      <w:t xml:space="preserve"> </w:t>
                    </w:r>
                    <w:r w:rsidRPr="00E314D2">
                      <w:rPr>
                        <w:rFonts w:ascii="Arial Narrow" w:hAnsi="Arial Narrow"/>
                        <w:b/>
                        <w:sz w:val="20"/>
                        <w:szCs w:val="20"/>
                      </w:rPr>
                      <w:t>Gobernación del</w:t>
                    </w:r>
                    <w:r>
                      <w:rPr>
                        <w:rFonts w:ascii="Arial Narrow" w:hAnsi="Arial Narrow"/>
                        <w:b/>
                        <w:sz w:val="20"/>
                        <w:szCs w:val="20"/>
                      </w:rPr>
                      <w:t xml:space="preserve"> Magdalena</w:t>
                    </w:r>
                  </w:p>
                  <w:p w:rsidR="00915858" w:rsidRDefault="00915858" w:rsidP="00915858">
                    <w:pPr>
                      <w:pStyle w:val="Encabezado"/>
                      <w:jc w:val="center"/>
                      <w:rPr>
                        <w:rFonts w:ascii="Arial Narrow" w:hAnsi="Arial Narrow"/>
                        <w:b/>
                        <w:sz w:val="20"/>
                        <w:szCs w:val="20"/>
                      </w:rPr>
                    </w:pPr>
                  </w:p>
                  <w:p w:rsidR="00915858" w:rsidRDefault="00915858" w:rsidP="00915858">
                    <w:pPr>
                      <w:pStyle w:val="Encabezado"/>
                      <w:jc w:val="center"/>
                      <w:rPr>
                        <w:rFonts w:ascii="Arial Narrow" w:hAnsi="Arial Narrow"/>
                        <w:b/>
                        <w:sz w:val="20"/>
                        <w:szCs w:val="20"/>
                      </w:rPr>
                    </w:pPr>
                  </w:p>
                  <w:p w:rsidR="00915858" w:rsidRPr="00E314D2" w:rsidRDefault="00915858" w:rsidP="00915858">
                    <w:pPr>
                      <w:pStyle w:val="Encabezado"/>
                      <w:jc w:val="center"/>
                      <w:rPr>
                        <w:rFonts w:ascii="Arial Narrow" w:hAnsi="Arial Narrow"/>
                        <w:b/>
                        <w:sz w:val="20"/>
                        <w:szCs w:val="20"/>
                      </w:rPr>
                    </w:pPr>
                  </w:p>
                  <w:p w:rsidR="00915858" w:rsidRPr="00E314D2" w:rsidRDefault="00915858" w:rsidP="00915858">
                    <w:pPr>
                      <w:jc w:val="center"/>
                      <w:rPr>
                        <w:rFonts w:ascii="Arial Narrow" w:hAnsi="Arial Narrow"/>
                        <w:sz w:val="20"/>
                        <w:szCs w:val="20"/>
                      </w:rPr>
                    </w:pPr>
                    <w:r w:rsidRPr="00E314D2">
                      <w:rPr>
                        <w:rFonts w:ascii="Arial Narrow" w:hAnsi="Arial Narrow"/>
                        <w:b/>
                        <w:sz w:val="20"/>
                        <w:szCs w:val="20"/>
                      </w:rPr>
                      <w:t>Magdalena</w:t>
                    </w:r>
                  </w:p>
                </w:txbxContent>
              </v:textbox>
            </v:shape>
          </w:pict>
        </mc:Fallback>
      </mc:AlternateContent>
    </w:r>
    <w:r w:rsidRPr="00CE100D">
      <w:rPr>
        <w:rFonts w:ascii="Arial Narrow" w:eastAsia="Times New Roman" w:hAnsi="Arial Narrow" w:cs="Times New Roman"/>
        <w:b/>
        <w:i/>
        <w:iCs/>
        <w:sz w:val="24"/>
        <w:szCs w:val="24"/>
        <w:lang w:val="es-ES" w:eastAsia="es-ES"/>
      </w:rPr>
      <w:t xml:space="preserve">                                                               </w:t>
    </w:r>
    <w:r w:rsidRPr="00CE100D">
      <w:rPr>
        <w:rFonts w:ascii="Arial Narrow" w:eastAsia="Times New Roman" w:hAnsi="Arial Narrow" w:cs="Times New Roman"/>
        <w:b/>
        <w:iCs/>
        <w:sz w:val="24"/>
        <w:szCs w:val="24"/>
        <w:lang w:val="es-ES" w:eastAsia="es-ES"/>
      </w:rPr>
      <w:t>República de Colombia</w:t>
    </w:r>
  </w:p>
  <w:p w:rsidR="00915858" w:rsidRPr="00CE100D" w:rsidRDefault="00915858" w:rsidP="00915858">
    <w:pPr>
      <w:tabs>
        <w:tab w:val="center" w:pos="4238"/>
        <w:tab w:val="center" w:pos="4419"/>
        <w:tab w:val="right" w:pos="8477"/>
        <w:tab w:val="right" w:pos="8838"/>
      </w:tabs>
      <w:spacing w:after="0" w:line="240" w:lineRule="auto"/>
      <w:jc w:val="center"/>
      <w:rPr>
        <w:rFonts w:ascii="Arial Narrow" w:eastAsia="Times New Roman" w:hAnsi="Arial Narrow" w:cs="Times New Roman"/>
        <w:b/>
        <w:iCs/>
        <w:sz w:val="24"/>
        <w:szCs w:val="24"/>
        <w:lang w:val="es-ES" w:eastAsia="es-ES"/>
      </w:rPr>
    </w:pPr>
    <w:r w:rsidRPr="00CE100D">
      <w:rPr>
        <w:rFonts w:ascii="Arial Narrow" w:eastAsia="Times New Roman" w:hAnsi="Arial Narrow" w:cs="Times New Roman"/>
        <w:b/>
        <w:iCs/>
        <w:sz w:val="24"/>
        <w:szCs w:val="24"/>
        <w:lang w:val="es-ES" w:eastAsia="es-ES"/>
      </w:rPr>
      <w:t xml:space="preserve">     Departamento del Magdalena</w:t>
    </w:r>
  </w:p>
  <w:p w:rsidR="00915858" w:rsidRPr="00915858" w:rsidRDefault="00915858" w:rsidP="00915858">
    <w:pPr>
      <w:pStyle w:val="Encabezado"/>
    </w:pPr>
    <w:r w:rsidRPr="00CE100D">
      <w:rPr>
        <w:rFonts w:ascii="Arial Narrow" w:eastAsia="Times New Roman" w:hAnsi="Arial Narrow" w:cs="Times New Roman"/>
        <w:b/>
        <w:iCs/>
        <w:sz w:val="24"/>
        <w:szCs w:val="24"/>
        <w:lang w:val="es-ES" w:eastAsia="es-ES"/>
      </w:rPr>
      <w:tab/>
      <w:t>Oficina Control Interno</w:t>
    </w:r>
  </w:p>
  <w:p w:rsidR="00915858" w:rsidRDefault="00915858" w:rsidP="00915858">
    <w:pPr>
      <w:pStyle w:val="Encabezad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5D54F8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858"/>
    <w:rsid w:val="0003060C"/>
    <w:rsid w:val="001D7C15"/>
    <w:rsid w:val="00217594"/>
    <w:rsid w:val="0022763E"/>
    <w:rsid w:val="00295D0B"/>
    <w:rsid w:val="003B3252"/>
    <w:rsid w:val="00420C11"/>
    <w:rsid w:val="0047179C"/>
    <w:rsid w:val="00556E94"/>
    <w:rsid w:val="006018C5"/>
    <w:rsid w:val="007622F8"/>
    <w:rsid w:val="007E0851"/>
    <w:rsid w:val="008567B5"/>
    <w:rsid w:val="00910294"/>
    <w:rsid w:val="00915858"/>
    <w:rsid w:val="00B81623"/>
    <w:rsid w:val="00BD65E5"/>
    <w:rsid w:val="00CD5053"/>
    <w:rsid w:val="00DF478A"/>
    <w:rsid w:val="00E22B58"/>
    <w:rsid w:val="00EF5A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8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858"/>
  </w:style>
  <w:style w:type="paragraph" w:styleId="Piedepgina">
    <w:name w:val="footer"/>
    <w:basedOn w:val="Normal"/>
    <w:link w:val="PiedepginaCar"/>
    <w:uiPriority w:val="99"/>
    <w:unhideWhenUsed/>
    <w:rsid w:val="009158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858"/>
  </w:style>
  <w:style w:type="paragraph" w:styleId="Textodeglobo">
    <w:name w:val="Balloon Text"/>
    <w:basedOn w:val="Normal"/>
    <w:link w:val="TextodegloboCar"/>
    <w:uiPriority w:val="99"/>
    <w:semiHidden/>
    <w:unhideWhenUsed/>
    <w:rsid w:val="007E08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58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858"/>
  </w:style>
  <w:style w:type="paragraph" w:styleId="Piedepgina">
    <w:name w:val="footer"/>
    <w:basedOn w:val="Normal"/>
    <w:link w:val="PiedepginaCar"/>
    <w:uiPriority w:val="99"/>
    <w:unhideWhenUsed/>
    <w:rsid w:val="009158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858"/>
  </w:style>
  <w:style w:type="paragraph" w:styleId="Textodeglobo">
    <w:name w:val="Balloon Text"/>
    <w:basedOn w:val="Normal"/>
    <w:link w:val="TextodegloboCar"/>
    <w:uiPriority w:val="99"/>
    <w:semiHidden/>
    <w:unhideWhenUsed/>
    <w:rsid w:val="007E08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0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MSanjuanelo\Documents\JORGE%20PINEDA\cuadro%20excel%20ley%20de%20transparencia.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CO"/>
              <a:t>CUMPLIMIENTO A LA LEY DE TRANSPARENCIA</a:t>
            </a:r>
          </a:p>
        </c:rich>
      </c:tx>
      <c:layout>
        <c:manualLayout>
          <c:xMode val="edge"/>
          <c:yMode val="edge"/>
          <c:x val="0.1279030698412274"/>
          <c:y val="5.5493219422488152E-2"/>
        </c:manualLayout>
      </c:layout>
      <c:overlay val="0"/>
    </c:title>
    <c:autoTitleDeleted val="0"/>
    <c:plotArea>
      <c:layout/>
      <c:pieChart>
        <c:varyColors val="1"/>
        <c:ser>
          <c:idx val="0"/>
          <c:order val="0"/>
          <c:explosion val="2"/>
          <c:dPt>
            <c:idx val="0"/>
            <c:bubble3D val="0"/>
            <c:explosion val="5"/>
          </c:dPt>
          <c:dLbls>
            <c:dLbl>
              <c:idx val="0"/>
              <c:layout>
                <c:manualLayout>
                  <c:x val="-0.23069338741800938"/>
                  <c:y val="4.0838861983681619E-2"/>
                </c:manualLayout>
              </c:layout>
              <c:tx>
                <c:rich>
                  <a:bodyPr/>
                  <a:lstStyle/>
                  <a:p>
                    <a:pPr>
                      <a:defRPr>
                        <a:solidFill>
                          <a:schemeClr val="bg1"/>
                        </a:solidFill>
                      </a:defRPr>
                    </a:pPr>
                    <a:r>
                      <a:rPr lang="en-US">
                        <a:solidFill>
                          <a:schemeClr val="bg1"/>
                        </a:solidFill>
                      </a:rPr>
                      <a:t>Cumple con lo descrito</a:t>
                    </a:r>
                  </a:p>
                  <a:p>
                    <a:pPr>
                      <a:defRPr>
                        <a:solidFill>
                          <a:schemeClr val="bg1"/>
                        </a:solidFill>
                      </a:defRPr>
                    </a:pPr>
                    <a:r>
                      <a:rPr lang="en-US">
                        <a:solidFill>
                          <a:schemeClr val="bg1"/>
                        </a:solidFill>
                      </a:rPr>
                      <a:t>42,37% </a:t>
                    </a:r>
                  </a:p>
                </c:rich>
              </c:tx>
              <c:spPr/>
              <c:showLegendKey val="0"/>
              <c:showVal val="0"/>
              <c:showCatName val="1"/>
              <c:showSerName val="0"/>
              <c:showPercent val="1"/>
              <c:showBubbleSize val="0"/>
            </c:dLbl>
            <c:dLbl>
              <c:idx val="1"/>
              <c:layout>
                <c:manualLayout>
                  <c:x val="0.14791588564589594"/>
                  <c:y val="-0.23005545766267918"/>
                </c:manualLayout>
              </c:layout>
              <c:tx>
                <c:rich>
                  <a:bodyPr/>
                  <a:lstStyle/>
                  <a:p>
                    <a:r>
                      <a:rPr lang="en-US">
                        <a:solidFill>
                          <a:schemeClr val="bg1"/>
                        </a:solidFill>
                      </a:rPr>
                      <a:t>Se debe actualizar  o realizar ajustes pertinentes </a:t>
                    </a:r>
                  </a:p>
                  <a:p>
                    <a:r>
                      <a:rPr lang="en-US">
                        <a:solidFill>
                          <a:schemeClr val="bg1"/>
                        </a:solidFill>
                      </a:rPr>
                      <a:t>35.59</a:t>
                    </a:r>
                    <a:r>
                      <a:rPr lang="en-US" baseline="0">
                        <a:solidFill>
                          <a:schemeClr val="bg1"/>
                        </a:solidFill>
                      </a:rPr>
                      <a:t> %</a:t>
                    </a:r>
                    <a:r>
                      <a:rPr lang="en-US">
                        <a:solidFill>
                          <a:schemeClr val="bg1"/>
                        </a:solidFill>
                      </a:rPr>
                      <a:t> </a:t>
                    </a:r>
                  </a:p>
                </c:rich>
              </c:tx>
              <c:showLegendKey val="0"/>
              <c:showVal val="0"/>
              <c:showCatName val="1"/>
              <c:showSerName val="0"/>
              <c:showPercent val="1"/>
              <c:showBubbleSize val="0"/>
            </c:dLbl>
            <c:dLbl>
              <c:idx val="2"/>
              <c:layout>
                <c:manualLayout>
                  <c:x val="0.16719382912450034"/>
                  <c:y val="0.17603068847163336"/>
                </c:manualLayout>
              </c:layout>
              <c:tx>
                <c:rich>
                  <a:bodyPr/>
                  <a:lstStyle/>
                  <a:p>
                    <a:r>
                      <a:rPr lang="en-US">
                        <a:solidFill>
                          <a:schemeClr val="bg1"/>
                        </a:solidFill>
                      </a:rPr>
                      <a:t>Falta su</a:t>
                    </a:r>
                    <a:r>
                      <a:rPr lang="en-US" baseline="0">
                        <a:solidFill>
                          <a:schemeClr val="bg1"/>
                        </a:solidFill>
                      </a:rPr>
                      <a:t> publicación o implementación</a:t>
                    </a:r>
                    <a:r>
                      <a:rPr lang="en-US">
                        <a:solidFill>
                          <a:schemeClr val="bg1"/>
                        </a:solidFill>
                      </a:rPr>
                      <a:t>
22%</a:t>
                    </a:r>
                  </a:p>
                </c:rich>
              </c:tx>
              <c:showLegendKey val="0"/>
              <c:showVal val="0"/>
              <c:showCatName val="1"/>
              <c:showSerName val="0"/>
              <c:showPercent val="1"/>
              <c:showBubbleSize val="0"/>
            </c:dLbl>
            <c:showLegendKey val="0"/>
            <c:showVal val="0"/>
            <c:showCatName val="1"/>
            <c:showSerName val="0"/>
            <c:showPercent val="1"/>
            <c:showBubbleSize val="0"/>
            <c:showLeaderLines val="1"/>
          </c:dLbls>
          <c:val>
            <c:numRef>
              <c:f>Hoja2!$B$6:$B$8</c:f>
              <c:numCache>
                <c:formatCode>General</c:formatCode>
                <c:ptCount val="3"/>
                <c:pt idx="0">
                  <c:v>25</c:v>
                </c:pt>
                <c:pt idx="1">
                  <c:v>21</c:v>
                </c:pt>
                <c:pt idx="2">
                  <c:v>13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0.55259</cdr:x>
      <cdr:y>0.35119</cdr:y>
    </cdr:from>
    <cdr:to>
      <cdr:x>0.76438</cdr:x>
      <cdr:y>0.49008</cdr:y>
    </cdr:to>
    <cdr:sp macro="" textlink="">
      <cdr:nvSpPr>
        <cdr:cNvPr id="2" name="1 CuadroTexto"/>
        <cdr:cNvSpPr txBox="1"/>
      </cdr:nvSpPr>
      <cdr:spPr>
        <a:xfrm xmlns:a="http://schemas.openxmlformats.org/drawingml/2006/main">
          <a:off x="3752851" y="1685925"/>
          <a:ext cx="1438275" cy="666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s-CO" sz="1100">
            <a:solidFill>
              <a:schemeClr val="bg1"/>
            </a:solidFil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345</TotalTime>
  <Pages>1</Pages>
  <Words>860</Words>
  <Characters>4733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Amendoza</dc:creator>
  <cp:lastModifiedBy>Amendoza</cp:lastModifiedBy>
  <cp:revision>4</cp:revision>
  <dcterms:created xsi:type="dcterms:W3CDTF">2017-11-28T14:11:00Z</dcterms:created>
  <dcterms:modified xsi:type="dcterms:W3CDTF">2017-12-01T17:11:00Z</dcterms:modified>
</cp:coreProperties>
</file>