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37756" w14:textId="7CEA1F1C" w:rsidR="003E7A27" w:rsidRPr="009F57C7" w:rsidRDefault="003E7A27" w:rsidP="007B1F06">
      <w:pPr>
        <w:pStyle w:val="Sinespaciado"/>
        <w:jc w:val="center"/>
        <w:rPr>
          <w:rFonts w:asciiTheme="majorHAnsi" w:hAnsiTheme="majorHAnsi" w:cstheme="majorHAnsi"/>
          <w:b/>
          <w:sz w:val="22"/>
          <w:szCs w:val="22"/>
        </w:rPr>
      </w:pPr>
      <w:bookmarkStart w:id="0" w:name="_GoBack"/>
      <w:bookmarkEnd w:id="0"/>
      <w:r w:rsidRPr="009F57C7">
        <w:rPr>
          <w:rFonts w:asciiTheme="majorHAnsi" w:hAnsiTheme="majorHAnsi" w:cstheme="majorHAnsi"/>
          <w:b/>
          <w:sz w:val="22"/>
          <w:szCs w:val="22"/>
        </w:rPr>
        <w:t>AVISO</w:t>
      </w:r>
      <w:r w:rsidR="007E313B" w:rsidRPr="009F57C7">
        <w:rPr>
          <w:rFonts w:asciiTheme="majorHAnsi" w:hAnsiTheme="majorHAnsi" w:cstheme="majorHAnsi"/>
          <w:b/>
          <w:sz w:val="22"/>
          <w:szCs w:val="22"/>
        </w:rPr>
        <w:t xml:space="preserve"> UNICO</w:t>
      </w:r>
    </w:p>
    <w:p w14:paraId="5415EAD1" w14:textId="77777777" w:rsidR="003E7A27" w:rsidRPr="009F57C7" w:rsidRDefault="003E7A27" w:rsidP="007B1F06">
      <w:pPr>
        <w:pStyle w:val="Sinespaciado"/>
        <w:jc w:val="center"/>
        <w:rPr>
          <w:rFonts w:asciiTheme="majorHAnsi" w:hAnsiTheme="majorHAnsi" w:cstheme="majorHAnsi"/>
          <w:b/>
          <w:sz w:val="22"/>
          <w:szCs w:val="22"/>
        </w:rPr>
      </w:pPr>
      <w:r w:rsidRPr="009F57C7">
        <w:rPr>
          <w:rFonts w:asciiTheme="majorHAnsi" w:hAnsiTheme="majorHAnsi" w:cstheme="majorHAnsi"/>
          <w:b/>
          <w:sz w:val="22"/>
          <w:szCs w:val="22"/>
        </w:rPr>
        <w:t>(Artículo 30 de Ley 80 del 1993)</w:t>
      </w:r>
    </w:p>
    <w:p w14:paraId="67DE4630" w14:textId="50445569" w:rsidR="003E7A27" w:rsidRPr="009F57C7" w:rsidRDefault="00DD51C9" w:rsidP="007B1F06">
      <w:pPr>
        <w:pStyle w:val="Sinespaciado"/>
        <w:jc w:val="center"/>
        <w:rPr>
          <w:rFonts w:asciiTheme="majorHAnsi" w:hAnsiTheme="majorHAnsi" w:cstheme="majorHAnsi"/>
          <w:b/>
          <w:sz w:val="22"/>
          <w:szCs w:val="22"/>
        </w:rPr>
      </w:pPr>
      <w:r w:rsidRPr="009F57C7">
        <w:rPr>
          <w:rFonts w:asciiTheme="majorHAnsi" w:hAnsiTheme="majorHAnsi" w:cstheme="majorHAnsi"/>
          <w:b/>
          <w:sz w:val="22"/>
          <w:szCs w:val="22"/>
        </w:rPr>
        <w:t>LICITACIÓN PÚBLICA N</w:t>
      </w:r>
      <w:r w:rsidR="00593046" w:rsidRPr="009F57C7">
        <w:rPr>
          <w:rFonts w:asciiTheme="majorHAnsi" w:hAnsiTheme="majorHAnsi" w:cstheme="majorHAnsi"/>
          <w:b/>
          <w:sz w:val="22"/>
          <w:szCs w:val="22"/>
        </w:rPr>
        <w:t>°</w:t>
      </w:r>
      <w:r w:rsidRPr="009F57C7">
        <w:rPr>
          <w:rFonts w:asciiTheme="majorHAnsi" w:hAnsiTheme="majorHAnsi" w:cstheme="majorHAnsi"/>
          <w:b/>
          <w:sz w:val="22"/>
          <w:szCs w:val="22"/>
        </w:rPr>
        <w:t>. LP-</w:t>
      </w:r>
      <w:r w:rsidR="009F57C7" w:rsidRPr="009F57C7">
        <w:rPr>
          <w:rFonts w:asciiTheme="majorHAnsi" w:hAnsiTheme="majorHAnsi" w:cstheme="majorHAnsi"/>
          <w:b/>
          <w:sz w:val="22"/>
          <w:szCs w:val="22"/>
        </w:rPr>
        <w:t>0</w:t>
      </w:r>
      <w:r w:rsidR="00B92FD2">
        <w:rPr>
          <w:rFonts w:asciiTheme="majorHAnsi" w:hAnsiTheme="majorHAnsi" w:cstheme="majorHAnsi"/>
          <w:b/>
          <w:sz w:val="22"/>
          <w:szCs w:val="22"/>
        </w:rPr>
        <w:t>0</w:t>
      </w:r>
      <w:r w:rsidR="002E535E">
        <w:rPr>
          <w:rFonts w:asciiTheme="majorHAnsi" w:hAnsiTheme="majorHAnsi" w:cstheme="majorHAnsi"/>
          <w:b/>
          <w:sz w:val="22"/>
          <w:szCs w:val="22"/>
        </w:rPr>
        <w:t>4</w:t>
      </w:r>
      <w:r w:rsidR="009F57C7" w:rsidRPr="009F57C7">
        <w:rPr>
          <w:rFonts w:asciiTheme="majorHAnsi" w:hAnsiTheme="majorHAnsi" w:cstheme="majorHAnsi"/>
          <w:b/>
          <w:sz w:val="22"/>
          <w:szCs w:val="22"/>
        </w:rPr>
        <w:t>-202</w:t>
      </w:r>
      <w:r w:rsidR="00B92FD2">
        <w:rPr>
          <w:rFonts w:asciiTheme="majorHAnsi" w:hAnsiTheme="majorHAnsi" w:cstheme="majorHAnsi"/>
          <w:b/>
          <w:sz w:val="22"/>
          <w:szCs w:val="22"/>
        </w:rPr>
        <w:t>4</w:t>
      </w:r>
    </w:p>
    <w:p w14:paraId="55379FB7" w14:textId="77777777" w:rsidR="003E7A27" w:rsidRPr="009F57C7" w:rsidRDefault="003E7A27" w:rsidP="007B1F06">
      <w:pPr>
        <w:pStyle w:val="Sinespaciado"/>
        <w:jc w:val="both"/>
        <w:rPr>
          <w:rFonts w:asciiTheme="majorHAnsi" w:hAnsiTheme="majorHAnsi" w:cstheme="majorHAnsi"/>
          <w:b/>
          <w:sz w:val="22"/>
          <w:szCs w:val="22"/>
        </w:rPr>
      </w:pPr>
    </w:p>
    <w:p w14:paraId="51F7081F" w14:textId="77777777" w:rsidR="003E7A27" w:rsidRPr="009F57C7" w:rsidRDefault="003E7A27" w:rsidP="007B1F06">
      <w:pPr>
        <w:pStyle w:val="Sinespaciado"/>
        <w:jc w:val="center"/>
        <w:rPr>
          <w:rFonts w:asciiTheme="majorHAnsi" w:hAnsiTheme="majorHAnsi" w:cstheme="majorHAnsi"/>
          <w:b/>
          <w:sz w:val="22"/>
          <w:szCs w:val="22"/>
        </w:rPr>
      </w:pPr>
      <w:r w:rsidRPr="009F57C7">
        <w:rPr>
          <w:rFonts w:asciiTheme="majorHAnsi" w:hAnsiTheme="majorHAnsi" w:cstheme="majorHAnsi"/>
          <w:b/>
          <w:sz w:val="22"/>
          <w:szCs w:val="22"/>
        </w:rPr>
        <w:t>EL DEPARTAMENTO DEL MAGDALENA ESTA INTERESADO EN CONTRATAR EL SIGUIENTE OBJETO:</w:t>
      </w:r>
    </w:p>
    <w:p w14:paraId="0CFF6289" w14:textId="77777777" w:rsidR="003E7A27" w:rsidRPr="009F57C7" w:rsidRDefault="003E7A27" w:rsidP="007B1F06">
      <w:pPr>
        <w:pStyle w:val="Sinespaciado"/>
        <w:jc w:val="both"/>
        <w:rPr>
          <w:rFonts w:asciiTheme="majorHAnsi" w:hAnsiTheme="majorHAnsi" w:cstheme="majorHAnsi"/>
          <w:b/>
          <w:sz w:val="22"/>
          <w:szCs w:val="22"/>
        </w:rPr>
      </w:pPr>
    </w:p>
    <w:p w14:paraId="3C55E39F" w14:textId="38B138CD" w:rsidR="00B92FD2" w:rsidRPr="00B92FD2" w:rsidRDefault="003E7A27" w:rsidP="00B92FD2">
      <w:pPr>
        <w:widowControl w:val="0"/>
        <w:autoSpaceDE w:val="0"/>
        <w:autoSpaceDN w:val="0"/>
        <w:adjustRightInd w:val="0"/>
        <w:spacing w:after="0" w:line="240" w:lineRule="auto"/>
        <w:jc w:val="both"/>
        <w:rPr>
          <w:rFonts w:ascii="Arial" w:hAnsi="Arial" w:cs="Arial"/>
          <w:b/>
          <w:bCs/>
          <w:iCs/>
          <w:color w:val="000000" w:themeColor="text1"/>
          <w:sz w:val="20"/>
          <w:szCs w:val="20"/>
        </w:rPr>
      </w:pPr>
      <w:r w:rsidRPr="009F57C7">
        <w:rPr>
          <w:rFonts w:asciiTheme="majorHAnsi" w:hAnsiTheme="majorHAnsi" w:cstheme="majorHAnsi"/>
          <w:b/>
          <w:bCs/>
          <w:color w:val="000000"/>
        </w:rPr>
        <w:t xml:space="preserve">OBJETO: </w:t>
      </w:r>
      <w:r w:rsidR="00B92FD2" w:rsidRPr="00B92FD2">
        <w:rPr>
          <w:rFonts w:asciiTheme="majorHAnsi" w:eastAsia="Times New Roman" w:hAnsiTheme="majorHAnsi" w:cstheme="majorHAnsi"/>
          <w:b/>
          <w:lang w:val="es-ES_tradnl" w:eastAsia="es-ES_tradnl"/>
        </w:rPr>
        <w:t>MEJORAMIENTO MANTENIMIENTO Y/O REHABILITACIÓN DE LA RED VIAL TERCIARIA EN EL DEPARTAMENTO DEL MAGDALENA.</w:t>
      </w:r>
    </w:p>
    <w:p w14:paraId="0D11464B" w14:textId="77777777" w:rsidR="00B92FD2" w:rsidRPr="003C762F" w:rsidRDefault="00B92FD2" w:rsidP="00B92FD2">
      <w:pPr>
        <w:pStyle w:val="Prrafodelista"/>
        <w:spacing w:after="0"/>
        <w:ind w:firstLine="142"/>
        <w:jc w:val="both"/>
        <w:rPr>
          <w:rFonts w:ascii="Arial" w:hAnsi="Arial" w:cs="Arial"/>
          <w:color w:val="000000" w:themeColor="text1"/>
          <w:lang w:val="es-ES"/>
        </w:rPr>
      </w:pPr>
    </w:p>
    <w:tbl>
      <w:tblPr>
        <w:tblStyle w:val="Tablaconcuadrcula1Claro-nfasis2"/>
        <w:tblW w:w="4737" w:type="pct"/>
        <w:tblInd w:w="562" w:type="dxa"/>
        <w:tblLook w:val="00A0" w:firstRow="1" w:lastRow="0" w:firstColumn="1" w:lastColumn="0" w:noHBand="0" w:noVBand="0"/>
      </w:tblPr>
      <w:tblGrid>
        <w:gridCol w:w="1379"/>
        <w:gridCol w:w="7878"/>
      </w:tblGrid>
      <w:tr w:rsidR="002E535E" w:rsidRPr="00032CB2" w14:paraId="146C8DDE" w14:textId="77777777" w:rsidTr="007C43B6">
        <w:trPr>
          <w:cnfStyle w:val="100000000000" w:firstRow="1" w:lastRow="0" w:firstColumn="0" w:lastColumn="0" w:oddVBand="0" w:evenVBand="0" w:oddHBand="0"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745" w:type="pct"/>
          </w:tcPr>
          <w:p w14:paraId="530F4B22" w14:textId="77777777" w:rsidR="002E535E" w:rsidRPr="00032CB2" w:rsidRDefault="002E535E" w:rsidP="007C43B6">
            <w:pPr>
              <w:ind w:firstLine="142"/>
              <w:jc w:val="center"/>
              <w:rPr>
                <w:rFonts w:ascii="Arial" w:hAnsi="Arial" w:cs="Arial"/>
                <w:bCs w:val="0"/>
                <w:sz w:val="20"/>
                <w:szCs w:val="20"/>
                <w:lang w:eastAsia="es-CO"/>
              </w:rPr>
            </w:pPr>
            <w:bookmarkStart w:id="1" w:name="_Hlk145426474"/>
            <w:r w:rsidRPr="00032CB2">
              <w:rPr>
                <w:rFonts w:ascii="Arial" w:hAnsi="Arial" w:cs="Arial"/>
                <w:bCs w:val="0"/>
                <w:sz w:val="20"/>
                <w:szCs w:val="20"/>
                <w:lang w:eastAsia="es-CO"/>
              </w:rPr>
              <w:t>NÚMERO DE LOTE</w:t>
            </w:r>
          </w:p>
        </w:tc>
        <w:tc>
          <w:tcPr>
            <w:tcW w:w="4255" w:type="pct"/>
          </w:tcPr>
          <w:p w14:paraId="0CC248B9" w14:textId="77777777" w:rsidR="002E535E" w:rsidRPr="00032CB2" w:rsidRDefault="002E535E" w:rsidP="007C43B6">
            <w:pPr>
              <w:ind w:firstLine="142"/>
              <w:jc w:val="center"/>
              <w:cnfStyle w:val="100000000000" w:firstRow="1" w:lastRow="0" w:firstColumn="0" w:lastColumn="0" w:oddVBand="0" w:evenVBand="0" w:oddHBand="0" w:evenHBand="0" w:firstRowFirstColumn="0" w:firstRowLastColumn="0" w:lastRowFirstColumn="0" w:lastRowLastColumn="0"/>
              <w:rPr>
                <w:rFonts w:ascii="Arial" w:eastAsia="Arial,Times New Roman" w:hAnsi="Arial" w:cs="Arial"/>
                <w:bCs w:val="0"/>
                <w:sz w:val="20"/>
                <w:szCs w:val="20"/>
                <w:lang w:eastAsia="es-CO"/>
              </w:rPr>
            </w:pPr>
            <w:r w:rsidRPr="00032CB2">
              <w:rPr>
                <w:rFonts w:ascii="Arial" w:hAnsi="Arial" w:cs="Arial"/>
                <w:bCs w:val="0"/>
                <w:sz w:val="20"/>
                <w:szCs w:val="20"/>
                <w:lang w:eastAsia="es-CO"/>
              </w:rPr>
              <w:t>OBJETO DEL PROYECTO, LOTE O GRUPO</w:t>
            </w:r>
          </w:p>
        </w:tc>
      </w:tr>
      <w:tr w:rsidR="002E535E" w:rsidRPr="00032CB2" w14:paraId="24915892" w14:textId="77777777" w:rsidTr="007C43B6">
        <w:trPr>
          <w:trHeight w:val="624"/>
        </w:trPr>
        <w:tc>
          <w:tcPr>
            <w:cnfStyle w:val="001000000000" w:firstRow="0" w:lastRow="0" w:firstColumn="1" w:lastColumn="0" w:oddVBand="0" w:evenVBand="0" w:oddHBand="0" w:evenHBand="0" w:firstRowFirstColumn="0" w:firstRowLastColumn="0" w:lastRowFirstColumn="0" w:lastRowLastColumn="0"/>
            <w:tcW w:w="745" w:type="pct"/>
          </w:tcPr>
          <w:p w14:paraId="238B3B04" w14:textId="77777777" w:rsidR="002E535E" w:rsidRPr="00032CB2" w:rsidRDefault="002E535E" w:rsidP="007C43B6">
            <w:pPr>
              <w:ind w:firstLine="142"/>
              <w:jc w:val="center"/>
              <w:rPr>
                <w:rFonts w:ascii="Arial" w:hAnsi="Arial" w:cs="Arial"/>
                <w:sz w:val="20"/>
                <w:szCs w:val="20"/>
                <w:lang w:eastAsia="es-CO"/>
              </w:rPr>
            </w:pPr>
            <w:r w:rsidRPr="00032CB2">
              <w:rPr>
                <w:rFonts w:ascii="Arial" w:hAnsi="Arial" w:cs="Arial"/>
                <w:sz w:val="20"/>
                <w:szCs w:val="20"/>
                <w:lang w:eastAsia="es-CO"/>
              </w:rPr>
              <w:t xml:space="preserve">Lote 1 </w:t>
            </w:r>
          </w:p>
        </w:tc>
        <w:tc>
          <w:tcPr>
            <w:tcW w:w="4255" w:type="pct"/>
          </w:tcPr>
          <w:p w14:paraId="2F63D93A" w14:textId="77777777" w:rsidR="002E535E" w:rsidRPr="00032CB2" w:rsidRDefault="002E535E" w:rsidP="007C43B6">
            <w:pPr>
              <w:ind w:firstLine="142"/>
              <w:jc w:val="center"/>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sz w:val="20"/>
                <w:szCs w:val="20"/>
                <w:lang w:eastAsia="es-CO"/>
              </w:rPr>
            </w:pPr>
            <w:r w:rsidRPr="00032CB2">
              <w:rPr>
                <w:rFonts w:ascii="Arial" w:hAnsi="Arial" w:cs="Arial"/>
                <w:sz w:val="20"/>
                <w:szCs w:val="20"/>
              </w:rPr>
              <w:t>CONSTRUCCIÓN DE LA E.S.E. HOSPITAL LOCAL DE SAN ZENON</w:t>
            </w:r>
          </w:p>
        </w:tc>
      </w:tr>
      <w:tr w:rsidR="002E535E" w:rsidRPr="00032CB2" w14:paraId="55C66F5B" w14:textId="77777777" w:rsidTr="007C43B6">
        <w:trPr>
          <w:trHeight w:val="554"/>
        </w:trPr>
        <w:tc>
          <w:tcPr>
            <w:cnfStyle w:val="001000000000" w:firstRow="0" w:lastRow="0" w:firstColumn="1" w:lastColumn="0" w:oddVBand="0" w:evenVBand="0" w:oddHBand="0" w:evenHBand="0" w:firstRowFirstColumn="0" w:firstRowLastColumn="0" w:lastRowFirstColumn="0" w:lastRowLastColumn="0"/>
            <w:tcW w:w="745" w:type="pct"/>
          </w:tcPr>
          <w:p w14:paraId="76FF8BFD" w14:textId="77777777" w:rsidR="002E535E" w:rsidRPr="00032CB2" w:rsidRDefault="002E535E" w:rsidP="007C43B6">
            <w:pPr>
              <w:ind w:firstLine="142"/>
              <w:jc w:val="center"/>
              <w:rPr>
                <w:rFonts w:ascii="Arial" w:hAnsi="Arial" w:cs="Arial"/>
                <w:sz w:val="20"/>
                <w:szCs w:val="20"/>
                <w:lang w:eastAsia="es-CO"/>
              </w:rPr>
            </w:pPr>
            <w:r w:rsidRPr="00032CB2">
              <w:rPr>
                <w:rFonts w:ascii="Arial" w:hAnsi="Arial" w:cs="Arial"/>
                <w:sz w:val="20"/>
                <w:szCs w:val="20"/>
                <w:lang w:eastAsia="es-CO"/>
              </w:rPr>
              <w:t xml:space="preserve">Lote 2 </w:t>
            </w:r>
          </w:p>
        </w:tc>
        <w:tc>
          <w:tcPr>
            <w:tcW w:w="4255" w:type="pct"/>
          </w:tcPr>
          <w:p w14:paraId="44AA5688" w14:textId="77777777" w:rsidR="002E535E" w:rsidRPr="00032CB2" w:rsidRDefault="002E535E" w:rsidP="007C43B6">
            <w:pPr>
              <w:ind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CO"/>
              </w:rPr>
            </w:pPr>
            <w:r w:rsidRPr="00032CB2">
              <w:rPr>
                <w:rFonts w:ascii="Arial" w:hAnsi="Arial" w:cs="Arial"/>
                <w:sz w:val="20"/>
                <w:szCs w:val="20"/>
              </w:rPr>
              <w:t>CONSTRUCCIÓN DE LA E.S.E. HOSPITAL LOCAL DE PIJIÑO DEL CARMEN</w:t>
            </w:r>
          </w:p>
        </w:tc>
      </w:tr>
      <w:bookmarkEnd w:id="1"/>
    </w:tbl>
    <w:p w14:paraId="5BED5EAC" w14:textId="77777777" w:rsidR="00B92FD2" w:rsidRDefault="00B92FD2" w:rsidP="00C35022">
      <w:pPr>
        <w:widowControl w:val="0"/>
        <w:autoSpaceDE w:val="0"/>
        <w:autoSpaceDN w:val="0"/>
        <w:adjustRightInd w:val="0"/>
        <w:spacing w:after="0" w:line="240" w:lineRule="auto"/>
        <w:jc w:val="both"/>
        <w:rPr>
          <w:rFonts w:asciiTheme="majorHAnsi" w:hAnsiTheme="majorHAnsi" w:cstheme="majorHAnsi"/>
        </w:rPr>
      </w:pPr>
    </w:p>
    <w:p w14:paraId="4B3F9F6A" w14:textId="388E88CA" w:rsidR="003E7A27" w:rsidRPr="009F57C7" w:rsidRDefault="003E7A27" w:rsidP="007B1F06">
      <w:pPr>
        <w:pStyle w:val="Sinespaciado"/>
        <w:jc w:val="both"/>
        <w:rPr>
          <w:rFonts w:asciiTheme="majorHAnsi" w:hAnsiTheme="majorHAnsi" w:cstheme="majorHAnsi"/>
          <w:sz w:val="22"/>
          <w:szCs w:val="22"/>
        </w:rPr>
      </w:pPr>
      <w:r w:rsidRPr="009F57C7">
        <w:rPr>
          <w:rFonts w:asciiTheme="majorHAnsi" w:hAnsiTheme="majorHAnsi" w:cstheme="majorHAnsi"/>
          <w:b/>
          <w:sz w:val="22"/>
          <w:szCs w:val="22"/>
        </w:rPr>
        <w:t>ENTIDAD CONTRATANTE:</w:t>
      </w:r>
      <w:r w:rsidRPr="009F57C7">
        <w:rPr>
          <w:rFonts w:asciiTheme="majorHAnsi" w:hAnsiTheme="majorHAnsi" w:cstheme="majorHAnsi"/>
          <w:sz w:val="22"/>
          <w:szCs w:val="22"/>
        </w:rPr>
        <w:t xml:space="preserve"> Departamento </w:t>
      </w:r>
      <w:proofErr w:type="spellStart"/>
      <w:r w:rsidRPr="009F57C7">
        <w:rPr>
          <w:rFonts w:asciiTheme="majorHAnsi" w:hAnsiTheme="majorHAnsi" w:cstheme="majorHAnsi"/>
          <w:sz w:val="22"/>
          <w:szCs w:val="22"/>
        </w:rPr>
        <w:t>del</w:t>
      </w:r>
      <w:proofErr w:type="spellEnd"/>
      <w:r w:rsidRPr="009F57C7">
        <w:rPr>
          <w:rFonts w:asciiTheme="majorHAnsi" w:hAnsiTheme="majorHAnsi" w:cstheme="majorHAnsi"/>
          <w:sz w:val="22"/>
          <w:szCs w:val="22"/>
        </w:rPr>
        <w:t xml:space="preserve"> Magdalena, </w:t>
      </w:r>
      <w:proofErr w:type="spellStart"/>
      <w:r w:rsidRPr="009F57C7">
        <w:rPr>
          <w:rFonts w:asciiTheme="majorHAnsi" w:hAnsiTheme="majorHAnsi" w:cstheme="majorHAnsi"/>
          <w:sz w:val="22"/>
          <w:szCs w:val="22"/>
        </w:rPr>
        <w:t>Nit</w:t>
      </w:r>
      <w:proofErr w:type="spellEnd"/>
      <w:r w:rsidRPr="009F57C7">
        <w:rPr>
          <w:rFonts w:asciiTheme="majorHAnsi" w:hAnsiTheme="majorHAnsi" w:cstheme="majorHAnsi"/>
          <w:sz w:val="22"/>
          <w:szCs w:val="22"/>
        </w:rPr>
        <w:t>. N</w:t>
      </w:r>
      <w:r w:rsidR="009F57C7">
        <w:rPr>
          <w:rFonts w:asciiTheme="majorHAnsi" w:hAnsiTheme="majorHAnsi" w:cstheme="majorHAnsi"/>
          <w:sz w:val="22"/>
          <w:szCs w:val="22"/>
        </w:rPr>
        <w:t>°</w:t>
      </w:r>
      <w:r w:rsidRPr="009F57C7">
        <w:rPr>
          <w:rFonts w:asciiTheme="majorHAnsi" w:hAnsiTheme="majorHAnsi" w:cstheme="majorHAnsi"/>
          <w:sz w:val="22"/>
          <w:szCs w:val="22"/>
        </w:rPr>
        <w:t xml:space="preserve">. 800.103.920 - 6, con domicilio en Santa Marta en la Carrera 1C No. 16-15 Palacio Tayrona. Teléfono 4346200. </w:t>
      </w:r>
    </w:p>
    <w:p w14:paraId="62D38EC8" w14:textId="77777777" w:rsidR="003E7A27" w:rsidRPr="009F57C7" w:rsidRDefault="003E7A27" w:rsidP="007B1F06">
      <w:pPr>
        <w:pStyle w:val="Sinespaciado"/>
        <w:jc w:val="both"/>
        <w:rPr>
          <w:rFonts w:asciiTheme="majorHAnsi" w:hAnsiTheme="majorHAnsi" w:cstheme="majorHAnsi"/>
          <w:sz w:val="22"/>
          <w:szCs w:val="22"/>
        </w:rPr>
      </w:pPr>
    </w:p>
    <w:p w14:paraId="6919705C" w14:textId="070EA4E3" w:rsidR="003E7A27" w:rsidRPr="009F57C7" w:rsidRDefault="003E7A27" w:rsidP="007B1F06">
      <w:pPr>
        <w:pStyle w:val="Sinespaciado"/>
        <w:jc w:val="both"/>
        <w:rPr>
          <w:rFonts w:asciiTheme="majorHAnsi" w:hAnsiTheme="majorHAnsi" w:cstheme="majorHAnsi"/>
          <w:sz w:val="22"/>
          <w:szCs w:val="22"/>
        </w:rPr>
      </w:pPr>
      <w:r w:rsidRPr="009F57C7">
        <w:rPr>
          <w:rFonts w:asciiTheme="majorHAnsi" w:hAnsiTheme="majorHAnsi" w:cstheme="majorHAnsi"/>
          <w:b/>
          <w:sz w:val="22"/>
          <w:szCs w:val="22"/>
        </w:rPr>
        <w:t>PUBLICACIÓN APROXIMADA DE LOS PLIEGOS DEFINITIVOS:</w:t>
      </w:r>
      <w:r w:rsidRPr="009F57C7">
        <w:rPr>
          <w:rFonts w:asciiTheme="majorHAnsi" w:hAnsiTheme="majorHAnsi" w:cstheme="majorHAnsi"/>
          <w:sz w:val="22"/>
          <w:szCs w:val="22"/>
        </w:rPr>
        <w:t xml:space="preserve"> </w:t>
      </w:r>
      <w:r w:rsidR="005221EC" w:rsidRPr="009F57C7">
        <w:rPr>
          <w:rFonts w:asciiTheme="majorHAnsi" w:hAnsiTheme="majorHAnsi" w:cstheme="majorHAnsi"/>
          <w:sz w:val="22"/>
          <w:szCs w:val="22"/>
        </w:rPr>
        <w:t>Según lo establecido en el cronograma del proceso contenido en la sección del formulario del SECOP II</w:t>
      </w:r>
      <w:r w:rsidRPr="009F57C7">
        <w:rPr>
          <w:rFonts w:asciiTheme="majorHAnsi" w:hAnsiTheme="majorHAnsi" w:cstheme="majorHAnsi"/>
          <w:sz w:val="22"/>
          <w:szCs w:val="22"/>
        </w:rPr>
        <w:t>.</w:t>
      </w:r>
    </w:p>
    <w:p w14:paraId="0FF8743C" w14:textId="77777777" w:rsidR="003E7A27" w:rsidRPr="009F57C7" w:rsidRDefault="003E7A27" w:rsidP="007B1F06">
      <w:pPr>
        <w:pStyle w:val="Sinespaciado"/>
        <w:jc w:val="both"/>
        <w:rPr>
          <w:rFonts w:asciiTheme="majorHAnsi" w:hAnsiTheme="majorHAnsi" w:cstheme="majorHAnsi"/>
          <w:sz w:val="22"/>
          <w:szCs w:val="22"/>
        </w:rPr>
      </w:pPr>
    </w:p>
    <w:p w14:paraId="498FCA1C" w14:textId="337B1411" w:rsidR="003E7A27" w:rsidRPr="009F57C7" w:rsidRDefault="003E7A27" w:rsidP="007B1F06">
      <w:pPr>
        <w:pStyle w:val="Sinespaciado"/>
        <w:jc w:val="both"/>
        <w:rPr>
          <w:rFonts w:asciiTheme="majorHAnsi" w:hAnsiTheme="majorHAnsi" w:cstheme="majorHAnsi"/>
          <w:sz w:val="22"/>
          <w:szCs w:val="22"/>
          <w:lang w:val="es-CO"/>
        </w:rPr>
      </w:pPr>
      <w:r w:rsidRPr="009F57C7">
        <w:rPr>
          <w:rFonts w:asciiTheme="majorHAnsi" w:hAnsiTheme="majorHAnsi" w:cstheme="majorHAnsi"/>
          <w:b/>
          <w:bCs/>
          <w:sz w:val="22"/>
          <w:szCs w:val="22"/>
        </w:rPr>
        <w:t>FECHA APROXIMADA PARA LA APERTURA</w:t>
      </w:r>
      <w:r w:rsidRPr="009F57C7">
        <w:rPr>
          <w:rFonts w:asciiTheme="majorHAnsi" w:hAnsiTheme="majorHAnsi" w:cstheme="majorHAnsi"/>
          <w:sz w:val="22"/>
          <w:szCs w:val="22"/>
        </w:rPr>
        <w:t xml:space="preserve">: </w:t>
      </w:r>
      <w:r w:rsidR="005221EC" w:rsidRPr="009F57C7">
        <w:rPr>
          <w:rFonts w:asciiTheme="majorHAnsi" w:hAnsiTheme="majorHAnsi" w:cstheme="majorHAnsi"/>
          <w:sz w:val="22"/>
          <w:szCs w:val="22"/>
        </w:rPr>
        <w:t>Según lo establecido en el cronograma del proceso contenido en la sección del formulario del SECOP II.</w:t>
      </w:r>
    </w:p>
    <w:p w14:paraId="2C49635F" w14:textId="77777777" w:rsidR="003E7A27" w:rsidRPr="009F57C7" w:rsidRDefault="003E7A27" w:rsidP="007B1F06">
      <w:pPr>
        <w:pStyle w:val="Sinespaciado"/>
        <w:jc w:val="both"/>
        <w:rPr>
          <w:rFonts w:asciiTheme="majorHAnsi" w:hAnsiTheme="majorHAnsi" w:cstheme="majorHAnsi"/>
          <w:b/>
          <w:bCs/>
          <w:sz w:val="22"/>
          <w:szCs w:val="22"/>
        </w:rPr>
      </w:pPr>
    </w:p>
    <w:p w14:paraId="16760D21" w14:textId="30B802DF" w:rsidR="003E7A27" w:rsidRPr="009F57C7" w:rsidRDefault="003E7A27" w:rsidP="007B1F06">
      <w:pPr>
        <w:pStyle w:val="Sinespaciado"/>
        <w:jc w:val="both"/>
        <w:rPr>
          <w:rFonts w:asciiTheme="majorHAnsi" w:hAnsiTheme="majorHAnsi" w:cstheme="majorHAnsi"/>
          <w:bCs/>
          <w:sz w:val="22"/>
          <w:szCs w:val="22"/>
        </w:rPr>
      </w:pPr>
      <w:r w:rsidRPr="009F57C7">
        <w:rPr>
          <w:rFonts w:asciiTheme="majorHAnsi" w:hAnsiTheme="majorHAnsi" w:cstheme="majorHAnsi"/>
          <w:b/>
          <w:bCs/>
          <w:sz w:val="22"/>
          <w:szCs w:val="22"/>
        </w:rPr>
        <w:t xml:space="preserve">CONSULTA DE PLIEGOS: </w:t>
      </w:r>
      <w:r w:rsidRPr="009F57C7">
        <w:rPr>
          <w:rFonts w:asciiTheme="majorHAnsi" w:hAnsiTheme="majorHAnsi" w:cstheme="majorHAnsi"/>
          <w:bCs/>
          <w:sz w:val="22"/>
          <w:szCs w:val="22"/>
        </w:rPr>
        <w:t xml:space="preserve">Durante el plazo de la licitación, en la Oficina </w:t>
      </w:r>
      <w:r w:rsidR="00D41991" w:rsidRPr="009F57C7">
        <w:rPr>
          <w:rFonts w:asciiTheme="majorHAnsi" w:hAnsiTheme="majorHAnsi" w:cstheme="majorHAnsi"/>
          <w:bCs/>
          <w:sz w:val="22"/>
          <w:szCs w:val="22"/>
        </w:rPr>
        <w:t xml:space="preserve">de </w:t>
      </w:r>
      <w:r w:rsidR="009123AF" w:rsidRPr="009F57C7">
        <w:rPr>
          <w:rFonts w:asciiTheme="majorHAnsi" w:hAnsiTheme="majorHAnsi" w:cstheme="majorHAnsi"/>
          <w:bCs/>
          <w:sz w:val="22"/>
          <w:szCs w:val="22"/>
        </w:rPr>
        <w:t>Contratación</w:t>
      </w:r>
      <w:r w:rsidRPr="009F57C7">
        <w:rPr>
          <w:rFonts w:asciiTheme="majorHAnsi" w:hAnsiTheme="majorHAnsi" w:cstheme="majorHAnsi"/>
          <w:bCs/>
          <w:sz w:val="22"/>
          <w:szCs w:val="22"/>
        </w:rPr>
        <w:t xml:space="preserve"> y portales: </w:t>
      </w:r>
      <w:hyperlink r:id="rId8" w:history="1">
        <w:r w:rsidRPr="009F57C7">
          <w:rPr>
            <w:rStyle w:val="Hipervnculo"/>
            <w:rFonts w:asciiTheme="majorHAnsi" w:hAnsiTheme="majorHAnsi" w:cstheme="majorHAnsi"/>
            <w:bCs/>
            <w:sz w:val="22"/>
            <w:szCs w:val="22"/>
          </w:rPr>
          <w:t>www.colombiacompra.gov.co</w:t>
        </w:r>
      </w:hyperlink>
      <w:r w:rsidRPr="009F57C7">
        <w:rPr>
          <w:rFonts w:asciiTheme="majorHAnsi" w:hAnsiTheme="majorHAnsi" w:cstheme="majorHAnsi"/>
          <w:bCs/>
          <w:sz w:val="22"/>
          <w:szCs w:val="22"/>
        </w:rPr>
        <w:t xml:space="preserve">, </w:t>
      </w:r>
      <w:hyperlink r:id="rId9" w:history="1">
        <w:r w:rsidRPr="009F57C7">
          <w:rPr>
            <w:rStyle w:val="Hipervnculo"/>
            <w:rFonts w:asciiTheme="majorHAnsi" w:hAnsiTheme="majorHAnsi" w:cstheme="majorHAnsi"/>
            <w:bCs/>
            <w:sz w:val="22"/>
            <w:szCs w:val="22"/>
          </w:rPr>
          <w:t>www.magdalena.gov.co</w:t>
        </w:r>
      </w:hyperlink>
      <w:r w:rsidRPr="009F57C7">
        <w:rPr>
          <w:rFonts w:asciiTheme="majorHAnsi" w:hAnsiTheme="majorHAnsi" w:cstheme="majorHAnsi"/>
          <w:bCs/>
          <w:sz w:val="22"/>
          <w:szCs w:val="22"/>
        </w:rPr>
        <w:t>.</w:t>
      </w:r>
    </w:p>
    <w:p w14:paraId="49E267C1" w14:textId="77777777" w:rsidR="003E7A27" w:rsidRPr="009F57C7" w:rsidRDefault="003E7A27" w:rsidP="007B1F06">
      <w:pPr>
        <w:pStyle w:val="Sinespaciado"/>
        <w:jc w:val="both"/>
        <w:rPr>
          <w:rFonts w:asciiTheme="majorHAnsi" w:hAnsiTheme="majorHAnsi" w:cstheme="majorHAnsi"/>
          <w:b/>
          <w:bCs/>
          <w:sz w:val="22"/>
          <w:szCs w:val="22"/>
        </w:rPr>
      </w:pPr>
    </w:p>
    <w:p w14:paraId="0DB33CDF" w14:textId="27996A17" w:rsidR="003E7A27" w:rsidRPr="009F57C7" w:rsidRDefault="003E7A27" w:rsidP="007B1F06">
      <w:pPr>
        <w:pStyle w:val="Sinespaciado"/>
        <w:jc w:val="both"/>
        <w:rPr>
          <w:rFonts w:asciiTheme="majorHAnsi" w:hAnsiTheme="majorHAnsi" w:cstheme="majorHAnsi"/>
          <w:sz w:val="22"/>
          <w:szCs w:val="22"/>
        </w:rPr>
      </w:pPr>
      <w:r w:rsidRPr="009F57C7">
        <w:rPr>
          <w:rFonts w:asciiTheme="majorHAnsi" w:hAnsiTheme="majorHAnsi" w:cstheme="majorHAnsi"/>
          <w:b/>
          <w:bCs/>
          <w:sz w:val="22"/>
          <w:szCs w:val="22"/>
        </w:rPr>
        <w:t>LUGAR Y FECHA APROXIMADA PARA EL CIERRE</w:t>
      </w:r>
      <w:r w:rsidRPr="009F57C7">
        <w:rPr>
          <w:rFonts w:asciiTheme="majorHAnsi" w:hAnsiTheme="majorHAnsi" w:cstheme="majorHAnsi"/>
          <w:sz w:val="22"/>
          <w:szCs w:val="22"/>
        </w:rPr>
        <w:t xml:space="preserve">: </w:t>
      </w:r>
      <w:r w:rsidR="005221EC" w:rsidRPr="009F57C7">
        <w:rPr>
          <w:rFonts w:asciiTheme="majorHAnsi" w:hAnsiTheme="majorHAnsi" w:cstheme="majorHAnsi"/>
          <w:sz w:val="22"/>
          <w:szCs w:val="22"/>
        </w:rPr>
        <w:t>La fecha límite para presentar ofertas en el Proceso de Contratación se encuentra establecida en el cronograma del proceso contenido en la sección del formulario del SECOP II. Las ofertas deben presentarse a través de la plataforma SECOP II.</w:t>
      </w:r>
    </w:p>
    <w:p w14:paraId="3032DDC0" w14:textId="77777777" w:rsidR="003E7A27" w:rsidRPr="009F57C7" w:rsidRDefault="003E7A27" w:rsidP="007B1F06">
      <w:pPr>
        <w:pStyle w:val="Sinespaciado"/>
        <w:jc w:val="both"/>
        <w:rPr>
          <w:rFonts w:asciiTheme="majorHAnsi" w:hAnsiTheme="majorHAnsi" w:cstheme="majorHAnsi"/>
          <w:sz w:val="22"/>
          <w:szCs w:val="22"/>
        </w:rPr>
      </w:pPr>
    </w:p>
    <w:p w14:paraId="2A71E512" w14:textId="77777777" w:rsidR="003E7A27" w:rsidRPr="009F57C7" w:rsidRDefault="003E7A27" w:rsidP="007B1F06">
      <w:pPr>
        <w:pStyle w:val="Sinespaciado"/>
        <w:jc w:val="both"/>
        <w:rPr>
          <w:rFonts w:asciiTheme="majorHAnsi" w:hAnsiTheme="majorHAnsi" w:cstheme="majorHAnsi"/>
          <w:sz w:val="22"/>
          <w:szCs w:val="22"/>
        </w:rPr>
      </w:pPr>
      <w:r w:rsidRPr="009F57C7">
        <w:rPr>
          <w:rFonts w:asciiTheme="majorHAnsi" w:hAnsiTheme="majorHAnsi" w:cstheme="majorHAnsi"/>
          <w:b/>
          <w:bCs/>
          <w:sz w:val="22"/>
          <w:szCs w:val="22"/>
        </w:rPr>
        <w:t>REQUISITOS GENERALES</w:t>
      </w:r>
      <w:r w:rsidRPr="009F57C7">
        <w:rPr>
          <w:rFonts w:asciiTheme="majorHAnsi" w:hAnsiTheme="majorHAnsi" w:cstheme="majorHAnsi"/>
          <w:sz w:val="22"/>
          <w:szCs w:val="22"/>
        </w:rPr>
        <w:t>: Podrán participar en el presente proceso de selección las personas naturales, jurídicas, nacionales o extranjeras, uniones temporales o consorcios, que se encuentren legalmente constituidas en el país, al momento de presentación de la propuesta, y que cumplan con los documentos legales, técnicos y financieros establecidos en los pliegos de condiciones.</w:t>
      </w:r>
    </w:p>
    <w:p w14:paraId="6E6DA09A" w14:textId="77777777" w:rsidR="003E7A27" w:rsidRPr="009F57C7" w:rsidRDefault="003E7A27" w:rsidP="007B1F06">
      <w:pPr>
        <w:pStyle w:val="Sinespaciado"/>
        <w:jc w:val="both"/>
        <w:rPr>
          <w:rFonts w:asciiTheme="majorHAnsi" w:hAnsiTheme="majorHAnsi" w:cstheme="majorHAnsi"/>
          <w:b/>
          <w:bCs/>
          <w:sz w:val="22"/>
          <w:szCs w:val="22"/>
        </w:rPr>
      </w:pPr>
    </w:p>
    <w:p w14:paraId="7EB73591" w14:textId="77777777" w:rsidR="003E7A27" w:rsidRPr="009F57C7" w:rsidRDefault="003E7A27" w:rsidP="007B1F06">
      <w:pPr>
        <w:pStyle w:val="Sinespaciado"/>
        <w:jc w:val="both"/>
        <w:rPr>
          <w:rFonts w:asciiTheme="majorHAnsi" w:hAnsiTheme="majorHAnsi" w:cstheme="majorHAnsi"/>
          <w:bCs/>
          <w:sz w:val="22"/>
          <w:szCs w:val="22"/>
        </w:rPr>
      </w:pPr>
      <w:r w:rsidRPr="009F57C7">
        <w:rPr>
          <w:rFonts w:asciiTheme="majorHAnsi" w:hAnsiTheme="majorHAnsi" w:cstheme="majorHAnsi"/>
          <w:b/>
          <w:bCs/>
          <w:sz w:val="22"/>
          <w:szCs w:val="22"/>
        </w:rPr>
        <w:t xml:space="preserve">CRITERIOS DE EVALUACIÓN Y ADJUDICACIÓN: </w:t>
      </w:r>
      <w:r w:rsidRPr="009F57C7">
        <w:rPr>
          <w:rFonts w:asciiTheme="majorHAnsi" w:hAnsiTheme="majorHAnsi" w:cstheme="majorHAnsi"/>
          <w:bCs/>
          <w:sz w:val="22"/>
          <w:szCs w:val="22"/>
        </w:rPr>
        <w:t>Las propuestas se evaluarán teniendo en cuenta los factores establecidos en los pliegos de condiciones.</w:t>
      </w:r>
    </w:p>
    <w:p w14:paraId="558F052B" w14:textId="77777777" w:rsidR="003E7A27" w:rsidRPr="009F57C7" w:rsidRDefault="003E7A27" w:rsidP="007B1F06">
      <w:pPr>
        <w:pStyle w:val="Sinespaciado"/>
        <w:jc w:val="both"/>
        <w:rPr>
          <w:rFonts w:asciiTheme="majorHAnsi" w:hAnsiTheme="majorHAnsi" w:cstheme="majorHAnsi"/>
          <w:bCs/>
          <w:sz w:val="22"/>
          <w:szCs w:val="22"/>
        </w:rPr>
      </w:pPr>
    </w:p>
    <w:p w14:paraId="6AC62872" w14:textId="23B84581" w:rsidR="00C94663" w:rsidRPr="009F57C7" w:rsidRDefault="007E313B" w:rsidP="007B1F06">
      <w:pPr>
        <w:spacing w:after="0" w:line="240" w:lineRule="auto"/>
        <w:jc w:val="both"/>
        <w:rPr>
          <w:rFonts w:asciiTheme="majorHAnsi" w:hAnsiTheme="majorHAnsi" w:cstheme="majorHAnsi"/>
          <w:color w:val="000000"/>
        </w:rPr>
      </w:pPr>
      <w:r w:rsidRPr="009F57C7">
        <w:rPr>
          <w:rFonts w:asciiTheme="majorHAnsi" w:hAnsiTheme="majorHAnsi" w:cstheme="majorHAnsi"/>
          <w:b/>
          <w:bCs/>
        </w:rPr>
        <w:t>VALOR DEL PRESUPUESTO OFICIAL</w:t>
      </w:r>
      <w:r w:rsidR="003E7A27" w:rsidRPr="009F57C7">
        <w:rPr>
          <w:rFonts w:asciiTheme="majorHAnsi" w:hAnsiTheme="majorHAnsi" w:cstheme="majorHAnsi"/>
          <w:b/>
          <w:bCs/>
        </w:rPr>
        <w:t xml:space="preserve">: </w:t>
      </w:r>
      <w:r w:rsidR="002E535E">
        <w:rPr>
          <w:rFonts w:ascii="Arial" w:hAnsi="Arial" w:cs="Arial"/>
          <w:b/>
          <w:bCs/>
          <w:sz w:val="20"/>
          <w:szCs w:val="20"/>
        </w:rPr>
        <w:t xml:space="preserve">VEINTINUEVE MIL DOSCIENTOS NOVENTA Y DOS MILLONES CUATROCIENTOS TREINTA Y TRES MIL NOVECIENTOS SESENTA Y OCHO </w:t>
      </w:r>
      <w:r w:rsidR="002E535E" w:rsidRPr="00235CD4">
        <w:rPr>
          <w:rFonts w:ascii="Arial" w:hAnsi="Arial" w:cs="Arial"/>
          <w:b/>
          <w:bCs/>
          <w:sz w:val="20"/>
          <w:szCs w:val="20"/>
        </w:rPr>
        <w:t xml:space="preserve">PESOS </w:t>
      </w:r>
      <w:r w:rsidR="00B92FD2" w:rsidRPr="00235CD4">
        <w:rPr>
          <w:rFonts w:ascii="Arial" w:hAnsi="Arial" w:cs="Arial"/>
          <w:b/>
          <w:bCs/>
          <w:sz w:val="20"/>
          <w:szCs w:val="20"/>
        </w:rPr>
        <w:t>(</w:t>
      </w:r>
      <w:r w:rsidR="00B92FD2" w:rsidRPr="00235CD4">
        <w:rPr>
          <w:rFonts w:ascii="Arial" w:hAnsi="Arial" w:cs="Arial"/>
          <w:b/>
          <w:bCs/>
          <w:color w:val="000000"/>
          <w:sz w:val="20"/>
          <w:szCs w:val="20"/>
        </w:rPr>
        <w:t>$</w:t>
      </w:r>
      <w:r w:rsidR="002E535E" w:rsidRPr="002E535E">
        <w:rPr>
          <w:rFonts w:ascii="Arial" w:hAnsi="Arial" w:cs="Arial"/>
          <w:b/>
          <w:bCs/>
          <w:color w:val="000000"/>
          <w:sz w:val="20"/>
          <w:szCs w:val="20"/>
        </w:rPr>
        <w:t xml:space="preserve"> 29.262.433.968</w:t>
      </w:r>
      <w:r w:rsidR="00B92FD2" w:rsidRPr="00235CD4">
        <w:rPr>
          <w:rFonts w:ascii="Arial" w:hAnsi="Arial" w:cs="Arial"/>
          <w:b/>
          <w:bCs/>
          <w:color w:val="000000"/>
          <w:sz w:val="20"/>
          <w:szCs w:val="20"/>
        </w:rPr>
        <w:t>)</w:t>
      </w:r>
    </w:p>
    <w:p w14:paraId="4F0A97D9" w14:textId="77777777" w:rsidR="003E7A27" w:rsidRPr="009F57C7" w:rsidRDefault="003E7A27" w:rsidP="007B1F06">
      <w:pPr>
        <w:pStyle w:val="Sinespaciado"/>
        <w:jc w:val="both"/>
        <w:rPr>
          <w:rFonts w:asciiTheme="majorHAnsi" w:hAnsiTheme="majorHAnsi" w:cstheme="majorHAnsi"/>
          <w:b/>
          <w:color w:val="000000"/>
          <w:sz w:val="22"/>
          <w:szCs w:val="22"/>
        </w:rPr>
      </w:pPr>
    </w:p>
    <w:p w14:paraId="5C5B7D5F" w14:textId="20DACA90" w:rsidR="00467AF9" w:rsidRPr="009F57C7" w:rsidRDefault="00D060E7" w:rsidP="007B1F06">
      <w:pPr>
        <w:spacing w:after="0" w:line="240" w:lineRule="auto"/>
        <w:rPr>
          <w:rFonts w:asciiTheme="majorHAnsi" w:hAnsiTheme="majorHAnsi" w:cstheme="majorHAnsi"/>
          <w:bCs/>
        </w:rPr>
      </w:pPr>
      <w:r w:rsidRPr="009F57C7">
        <w:rPr>
          <w:rFonts w:asciiTheme="majorHAnsi" w:hAnsiTheme="majorHAnsi" w:cstheme="majorHAnsi"/>
          <w:bCs/>
        </w:rPr>
        <w:t>Santa Marta</w:t>
      </w:r>
      <w:r w:rsidR="00626E3C" w:rsidRPr="009F57C7">
        <w:rPr>
          <w:rFonts w:asciiTheme="majorHAnsi" w:hAnsiTheme="majorHAnsi" w:cstheme="majorHAnsi"/>
          <w:bCs/>
        </w:rPr>
        <w:t>,</w:t>
      </w:r>
      <w:r w:rsidR="002E535E">
        <w:rPr>
          <w:rFonts w:asciiTheme="majorHAnsi" w:hAnsiTheme="majorHAnsi" w:cstheme="majorHAnsi"/>
          <w:bCs/>
        </w:rPr>
        <w:t xml:space="preserve"> MARZO</w:t>
      </w:r>
      <w:r w:rsidR="000167A2" w:rsidRPr="009F57C7">
        <w:rPr>
          <w:rFonts w:asciiTheme="majorHAnsi" w:hAnsiTheme="majorHAnsi" w:cstheme="majorHAnsi"/>
          <w:bCs/>
        </w:rPr>
        <w:t xml:space="preserve"> DE 202</w:t>
      </w:r>
      <w:r w:rsidR="00B92FD2">
        <w:rPr>
          <w:rFonts w:asciiTheme="majorHAnsi" w:hAnsiTheme="majorHAnsi" w:cstheme="majorHAnsi"/>
          <w:bCs/>
        </w:rPr>
        <w:t>4</w:t>
      </w:r>
    </w:p>
    <w:sectPr w:rsidR="00467AF9" w:rsidRPr="009F57C7" w:rsidSect="009C7A26">
      <w:headerReference w:type="default" r:id="rId10"/>
      <w:footerReference w:type="default" r:id="rId11"/>
      <w:pgSz w:w="12240" w:h="15840" w:code="1"/>
      <w:pgMar w:top="2127" w:right="1183" w:bottom="1276" w:left="1276" w:header="850" w:footer="8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17C92" w14:textId="77777777" w:rsidR="00CC5EBF" w:rsidRDefault="00CC5EBF" w:rsidP="001D259A">
      <w:pPr>
        <w:spacing w:after="0" w:line="240" w:lineRule="auto"/>
      </w:pPr>
      <w:r>
        <w:separator/>
      </w:r>
    </w:p>
  </w:endnote>
  <w:endnote w:type="continuationSeparator" w:id="0">
    <w:p w14:paraId="5DAC7FBE" w14:textId="77777777" w:rsidR="00CC5EBF" w:rsidRDefault="00CC5EBF" w:rsidP="001D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5FCE" w14:textId="44F6C40E" w:rsidR="00EA27A6" w:rsidRPr="002A5065" w:rsidRDefault="00EA27A6" w:rsidP="002A5065">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B90B" w14:textId="77777777" w:rsidR="00CC5EBF" w:rsidRDefault="00CC5EBF" w:rsidP="001D259A">
      <w:pPr>
        <w:spacing w:after="0" w:line="240" w:lineRule="auto"/>
      </w:pPr>
      <w:r>
        <w:separator/>
      </w:r>
    </w:p>
  </w:footnote>
  <w:footnote w:type="continuationSeparator" w:id="0">
    <w:p w14:paraId="4D3A293E" w14:textId="77777777" w:rsidR="00CC5EBF" w:rsidRDefault="00CC5EBF" w:rsidP="001D2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06DC" w14:textId="146D31D0" w:rsidR="007B1F06" w:rsidRDefault="002E535E">
    <w:pPr>
      <w:pStyle w:val="Encabezado"/>
    </w:pPr>
    <w:r>
      <w:rPr>
        <w:noProof/>
        <w:lang w:val="en-US"/>
      </w:rPr>
      <w:drawing>
        <wp:anchor distT="0" distB="0" distL="114300" distR="114300" simplePos="0" relativeHeight="251659264" behindDoc="1" locked="0" layoutInCell="1" allowOverlap="1" wp14:anchorId="3C1CB9C0" wp14:editId="3873E9D5">
          <wp:simplePos x="0" y="0"/>
          <wp:positionH relativeFrom="margin">
            <wp:align>center</wp:align>
          </wp:positionH>
          <wp:positionV relativeFrom="paragraph">
            <wp:posOffset>-705485</wp:posOffset>
          </wp:positionV>
          <wp:extent cx="7731119" cy="10314940"/>
          <wp:effectExtent l="0" t="0" r="3810" b="0"/>
          <wp:wrapNone/>
          <wp:docPr id="1443338882" name="Imagen 144333888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1119" cy="1031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7F1FA" w14:textId="77777777" w:rsidR="007B1F06" w:rsidRDefault="007B1F06">
    <w:pPr>
      <w:pStyle w:val="Encabezado"/>
    </w:pPr>
  </w:p>
  <w:p w14:paraId="46BA887F" w14:textId="40C6D0C6" w:rsidR="00EA27A6" w:rsidRDefault="00EA27A6" w:rsidP="003E7A27">
    <w:pPr>
      <w:pStyle w:val="Encabezado"/>
      <w:tabs>
        <w:tab w:val="clear" w:pos="44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DAD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384A3D"/>
    <w:multiLevelType w:val="hybridMultilevel"/>
    <w:tmpl w:val="07801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730106"/>
    <w:multiLevelType w:val="hybridMultilevel"/>
    <w:tmpl w:val="70AE4B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B70F9D"/>
    <w:multiLevelType w:val="hybridMultilevel"/>
    <w:tmpl w:val="B7C6D0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9A54DA"/>
    <w:multiLevelType w:val="hybridMultilevel"/>
    <w:tmpl w:val="1E76F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90581B"/>
    <w:multiLevelType w:val="hybridMultilevel"/>
    <w:tmpl w:val="D8781A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3DD3A77"/>
    <w:multiLevelType w:val="hybridMultilevel"/>
    <w:tmpl w:val="E18671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FCD766B"/>
    <w:multiLevelType w:val="hybridMultilevel"/>
    <w:tmpl w:val="760C4D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15837FB"/>
    <w:multiLevelType w:val="hybridMultilevel"/>
    <w:tmpl w:val="0F3E156A"/>
    <w:lvl w:ilvl="0" w:tplc="E1D8C6C8">
      <w:start w:val="1"/>
      <w:numFmt w:val="decimal"/>
      <w:lvlText w:val="%1."/>
      <w:lvlJc w:val="left"/>
      <w:pPr>
        <w:ind w:left="720" w:hanging="360"/>
      </w:pPr>
      <w:rPr>
        <w:rFonts w:ascii="ArialNarrow" w:hAnsi="ArialNarrow" w:hint="default"/>
        <w:b/>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5FD60AD"/>
    <w:multiLevelType w:val="hybridMultilevel"/>
    <w:tmpl w:val="61403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587617"/>
    <w:multiLevelType w:val="hybridMultilevel"/>
    <w:tmpl w:val="4F2468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3"/>
  </w:num>
  <w:num w:numId="5">
    <w:abstractNumId w:val="9"/>
  </w:num>
  <w:num w:numId="6">
    <w:abstractNumId w:val="6"/>
  </w:num>
  <w:num w:numId="7">
    <w:abstractNumId w:val="2"/>
  </w:num>
  <w:num w:numId="8">
    <w:abstractNumId w:val="1"/>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9A"/>
    <w:rsid w:val="00007186"/>
    <w:rsid w:val="00010147"/>
    <w:rsid w:val="000167A2"/>
    <w:rsid w:val="00026F29"/>
    <w:rsid w:val="0003235E"/>
    <w:rsid w:val="00036B23"/>
    <w:rsid w:val="000A1949"/>
    <w:rsid w:val="000C1B87"/>
    <w:rsid w:val="000C3198"/>
    <w:rsid w:val="000D50AF"/>
    <w:rsid w:val="000F45DA"/>
    <w:rsid w:val="000F688F"/>
    <w:rsid w:val="001050E6"/>
    <w:rsid w:val="0010591E"/>
    <w:rsid w:val="001156C1"/>
    <w:rsid w:val="00117C54"/>
    <w:rsid w:val="001529F3"/>
    <w:rsid w:val="001621D4"/>
    <w:rsid w:val="00163A56"/>
    <w:rsid w:val="001749FF"/>
    <w:rsid w:val="00182111"/>
    <w:rsid w:val="001860EE"/>
    <w:rsid w:val="001D259A"/>
    <w:rsid w:val="001D72A0"/>
    <w:rsid w:val="001F2D7A"/>
    <w:rsid w:val="002013B5"/>
    <w:rsid w:val="00216B58"/>
    <w:rsid w:val="00220396"/>
    <w:rsid w:val="0022423E"/>
    <w:rsid w:val="00245614"/>
    <w:rsid w:val="00256DC1"/>
    <w:rsid w:val="0028669C"/>
    <w:rsid w:val="00294F28"/>
    <w:rsid w:val="002A5065"/>
    <w:rsid w:val="002D6878"/>
    <w:rsid w:val="002E535E"/>
    <w:rsid w:val="00306D06"/>
    <w:rsid w:val="0032554A"/>
    <w:rsid w:val="003673FD"/>
    <w:rsid w:val="00384AAB"/>
    <w:rsid w:val="003926D2"/>
    <w:rsid w:val="003B350F"/>
    <w:rsid w:val="003C0E3E"/>
    <w:rsid w:val="003C3972"/>
    <w:rsid w:val="003C5FF7"/>
    <w:rsid w:val="003C6DD4"/>
    <w:rsid w:val="003C7978"/>
    <w:rsid w:val="003E015D"/>
    <w:rsid w:val="003E7A27"/>
    <w:rsid w:val="00413D5C"/>
    <w:rsid w:val="00426C46"/>
    <w:rsid w:val="004338D0"/>
    <w:rsid w:val="00453B0A"/>
    <w:rsid w:val="00466A13"/>
    <w:rsid w:val="00467AF9"/>
    <w:rsid w:val="004A1933"/>
    <w:rsid w:val="004C0403"/>
    <w:rsid w:val="004C77F8"/>
    <w:rsid w:val="004D753D"/>
    <w:rsid w:val="004E760F"/>
    <w:rsid w:val="005221EC"/>
    <w:rsid w:val="00524F86"/>
    <w:rsid w:val="00526953"/>
    <w:rsid w:val="00532434"/>
    <w:rsid w:val="005656FD"/>
    <w:rsid w:val="00593046"/>
    <w:rsid w:val="005A10D0"/>
    <w:rsid w:val="0062325A"/>
    <w:rsid w:val="00626E3C"/>
    <w:rsid w:val="00657091"/>
    <w:rsid w:val="006700B1"/>
    <w:rsid w:val="00680EEB"/>
    <w:rsid w:val="00696202"/>
    <w:rsid w:val="0069633A"/>
    <w:rsid w:val="006A7573"/>
    <w:rsid w:val="006C0D90"/>
    <w:rsid w:val="006C539D"/>
    <w:rsid w:val="006C6302"/>
    <w:rsid w:val="006E755F"/>
    <w:rsid w:val="006F7A7E"/>
    <w:rsid w:val="00715FC0"/>
    <w:rsid w:val="007161FD"/>
    <w:rsid w:val="007346D2"/>
    <w:rsid w:val="00740B3A"/>
    <w:rsid w:val="00743E96"/>
    <w:rsid w:val="00757566"/>
    <w:rsid w:val="00763BB3"/>
    <w:rsid w:val="0078045E"/>
    <w:rsid w:val="007A0B75"/>
    <w:rsid w:val="007B1F06"/>
    <w:rsid w:val="007B6DFC"/>
    <w:rsid w:val="007C076B"/>
    <w:rsid w:val="007C2817"/>
    <w:rsid w:val="007E313B"/>
    <w:rsid w:val="007F137A"/>
    <w:rsid w:val="007F33BE"/>
    <w:rsid w:val="0080378A"/>
    <w:rsid w:val="00847A33"/>
    <w:rsid w:val="00875B28"/>
    <w:rsid w:val="00876EC0"/>
    <w:rsid w:val="008D3876"/>
    <w:rsid w:val="008D6E2F"/>
    <w:rsid w:val="008F3383"/>
    <w:rsid w:val="00906FBC"/>
    <w:rsid w:val="0091189D"/>
    <w:rsid w:val="009123AF"/>
    <w:rsid w:val="00940CC9"/>
    <w:rsid w:val="00973391"/>
    <w:rsid w:val="009833FC"/>
    <w:rsid w:val="00992187"/>
    <w:rsid w:val="009A405D"/>
    <w:rsid w:val="009C6C68"/>
    <w:rsid w:val="009C7A26"/>
    <w:rsid w:val="009F57C7"/>
    <w:rsid w:val="00A1691D"/>
    <w:rsid w:val="00A30241"/>
    <w:rsid w:val="00A35BF1"/>
    <w:rsid w:val="00A555C9"/>
    <w:rsid w:val="00A62A3C"/>
    <w:rsid w:val="00A81B37"/>
    <w:rsid w:val="00A82D40"/>
    <w:rsid w:val="00AA5ACD"/>
    <w:rsid w:val="00AB6271"/>
    <w:rsid w:val="00B00675"/>
    <w:rsid w:val="00B00A6E"/>
    <w:rsid w:val="00B27B93"/>
    <w:rsid w:val="00B4033C"/>
    <w:rsid w:val="00B75F6C"/>
    <w:rsid w:val="00B92FD2"/>
    <w:rsid w:val="00BC1BAE"/>
    <w:rsid w:val="00BC1D7F"/>
    <w:rsid w:val="00BD53A6"/>
    <w:rsid w:val="00BE1FAD"/>
    <w:rsid w:val="00BF7EAE"/>
    <w:rsid w:val="00C35022"/>
    <w:rsid w:val="00C4474C"/>
    <w:rsid w:val="00C717F9"/>
    <w:rsid w:val="00C92553"/>
    <w:rsid w:val="00C94663"/>
    <w:rsid w:val="00C9716D"/>
    <w:rsid w:val="00CB67C1"/>
    <w:rsid w:val="00CC1179"/>
    <w:rsid w:val="00CC1FC1"/>
    <w:rsid w:val="00CC5EBF"/>
    <w:rsid w:val="00CD0DC0"/>
    <w:rsid w:val="00CD1EB0"/>
    <w:rsid w:val="00CD7328"/>
    <w:rsid w:val="00D02F26"/>
    <w:rsid w:val="00D060E7"/>
    <w:rsid w:val="00D33EB8"/>
    <w:rsid w:val="00D345C8"/>
    <w:rsid w:val="00D34D51"/>
    <w:rsid w:val="00D41991"/>
    <w:rsid w:val="00D866EC"/>
    <w:rsid w:val="00DB14CB"/>
    <w:rsid w:val="00DB6BB0"/>
    <w:rsid w:val="00DC07A9"/>
    <w:rsid w:val="00DC42CC"/>
    <w:rsid w:val="00DD51C9"/>
    <w:rsid w:val="00DF1F59"/>
    <w:rsid w:val="00E2081D"/>
    <w:rsid w:val="00E23E52"/>
    <w:rsid w:val="00E35BB9"/>
    <w:rsid w:val="00E36262"/>
    <w:rsid w:val="00E50E5E"/>
    <w:rsid w:val="00E627D3"/>
    <w:rsid w:val="00E70BF9"/>
    <w:rsid w:val="00E74406"/>
    <w:rsid w:val="00EA27A6"/>
    <w:rsid w:val="00EA7D83"/>
    <w:rsid w:val="00EB1B10"/>
    <w:rsid w:val="00EC09B6"/>
    <w:rsid w:val="00F04A8B"/>
    <w:rsid w:val="00F30FCB"/>
    <w:rsid w:val="00F31A3F"/>
    <w:rsid w:val="00F4387D"/>
    <w:rsid w:val="00F576B9"/>
    <w:rsid w:val="00F931CD"/>
    <w:rsid w:val="00FB2CC1"/>
    <w:rsid w:val="00FF287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0FC41"/>
  <w15:docId w15:val="{77CA3EDB-FA3B-4D49-A0F0-B6530479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maria,h,h8,h9,h10,h18,h18 Car,NOMBRE DEL EMPLEADO,articulo,Car Car Car Car Car Car"/>
    <w:basedOn w:val="Normal"/>
    <w:link w:val="EncabezadoCar"/>
    <w:uiPriority w:val="99"/>
    <w:unhideWhenUsed/>
    <w:rsid w:val="001D259A"/>
    <w:pPr>
      <w:tabs>
        <w:tab w:val="center" w:pos="4419"/>
        <w:tab w:val="right" w:pos="8838"/>
      </w:tabs>
      <w:spacing w:after="0" w:line="240" w:lineRule="auto"/>
    </w:pPr>
  </w:style>
  <w:style w:type="character" w:customStyle="1" w:styleId="EncabezadoCar">
    <w:name w:val="Encabezado Car"/>
    <w:aliases w:val="Haut de page Car,encabezado Car,maria Car,h Car,h8 Car,h9 Car,h10 Car,h18 Car1,h18 Car Car,NOMBRE DEL EMPLEADO Car,articulo Car,Car Car Car Car Car Car Car"/>
    <w:basedOn w:val="Fuentedeprrafopredeter"/>
    <w:link w:val="Encabezado"/>
    <w:uiPriority w:val="99"/>
    <w:rsid w:val="001D259A"/>
  </w:style>
  <w:style w:type="paragraph" w:styleId="Piedepgina">
    <w:name w:val="footer"/>
    <w:basedOn w:val="Normal"/>
    <w:link w:val="PiedepginaCar"/>
    <w:uiPriority w:val="99"/>
    <w:unhideWhenUsed/>
    <w:rsid w:val="001D25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59A"/>
  </w:style>
  <w:style w:type="paragraph" w:styleId="Textodeglobo">
    <w:name w:val="Balloon Text"/>
    <w:basedOn w:val="Normal"/>
    <w:link w:val="TextodegloboCar"/>
    <w:uiPriority w:val="99"/>
    <w:semiHidden/>
    <w:unhideWhenUsed/>
    <w:rsid w:val="001D259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D259A"/>
    <w:rPr>
      <w:rFonts w:ascii="Tahoma" w:hAnsi="Tahoma" w:cs="Tahoma"/>
      <w:sz w:val="16"/>
      <w:szCs w:val="16"/>
    </w:rPr>
  </w:style>
  <w:style w:type="paragraph" w:styleId="Prrafodelista">
    <w:name w:val="List Paragraph"/>
    <w:aliases w:val="List1,Bullet List,FooterText,numbered,List Paragraph1,Paragraphe de liste1,lp1,Párrafo CRIS,Párrafo de lista2,List Paragraph,Fotografía,titulo 3,Use Case List Paragraph,LISTA,Betulia Título 1,Lista vistosa - Énfasis 11,HOJA,Bolita"/>
    <w:basedOn w:val="Normal"/>
    <w:link w:val="PrrafodelistaCar"/>
    <w:uiPriority w:val="34"/>
    <w:qFormat/>
    <w:rsid w:val="00973391"/>
    <w:pPr>
      <w:ind w:left="720"/>
      <w:contextualSpacing/>
    </w:pPr>
  </w:style>
  <w:style w:type="table" w:styleId="Tablaconcuadrcula">
    <w:name w:val="Table Grid"/>
    <w:basedOn w:val="Tablanormal"/>
    <w:uiPriority w:val="59"/>
    <w:rsid w:val="00876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E7A27"/>
    <w:rPr>
      <w:rFonts w:ascii="Times New Roman" w:eastAsia="Times New Roman" w:hAnsi="Times New Roman"/>
      <w:sz w:val="24"/>
      <w:szCs w:val="24"/>
      <w:lang w:val="es-ES_tradnl" w:eastAsia="es-ES_tradnl"/>
    </w:rPr>
  </w:style>
  <w:style w:type="character" w:styleId="Hipervnculo">
    <w:name w:val="Hyperlink"/>
    <w:uiPriority w:val="99"/>
    <w:unhideWhenUsed/>
    <w:rsid w:val="003E7A27"/>
    <w:rPr>
      <w:color w:val="0000FF"/>
      <w:u w:val="single"/>
    </w:rPr>
  </w:style>
  <w:style w:type="character" w:customStyle="1" w:styleId="PrrafodelistaCar">
    <w:name w:val="Párrafo de lista Car"/>
    <w:aliases w:val="List1 Car,Bullet List Car,FooterText Car,numbered Car,List Paragraph1 Car,Paragraphe de liste1 Car,lp1 Car,Párrafo CRIS Car,Párrafo de lista2 Car,List Paragraph Car,Fotografía Car,titulo 3 Car,Use Case List Paragraph Car,LISTA Car"/>
    <w:link w:val="Prrafodelista"/>
    <w:uiPriority w:val="34"/>
    <w:qFormat/>
    <w:rsid w:val="00B92FD2"/>
    <w:rPr>
      <w:sz w:val="22"/>
      <w:szCs w:val="22"/>
      <w:lang w:eastAsia="en-US"/>
    </w:rPr>
  </w:style>
  <w:style w:type="table" w:styleId="Tablaconcuadrcula1Claro-nfasis2">
    <w:name w:val="Grid Table 1 Light Accent 2"/>
    <w:basedOn w:val="Tablanormal"/>
    <w:uiPriority w:val="46"/>
    <w:rsid w:val="00B92FD2"/>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gdalen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93894-225B-4B3A-A798-839B1E12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CharactersWithSpaces>
  <SharedDoc>false</SharedDoc>
  <HLinks>
    <vt:vector size="12" baseType="variant">
      <vt:variant>
        <vt:i4>1638487</vt:i4>
      </vt:variant>
      <vt:variant>
        <vt:i4>3</vt:i4>
      </vt:variant>
      <vt:variant>
        <vt:i4>0</vt:i4>
      </vt:variant>
      <vt:variant>
        <vt:i4>5</vt:i4>
      </vt:variant>
      <vt:variant>
        <vt:lpwstr>http://www.magdalena.gov.co/</vt:lpwstr>
      </vt:variant>
      <vt:variant>
        <vt:lpwstr/>
      </vt: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DESARROLLO-1</cp:lastModifiedBy>
  <cp:revision>2</cp:revision>
  <cp:lastPrinted>2019-01-23T00:18:00Z</cp:lastPrinted>
  <dcterms:created xsi:type="dcterms:W3CDTF">2024-03-14T16:24:00Z</dcterms:created>
  <dcterms:modified xsi:type="dcterms:W3CDTF">2024-03-14T16:24:00Z</dcterms:modified>
</cp:coreProperties>
</file>